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3ADEFF" w14:textId="1CED5EA6" w:rsidR="004C1533" w:rsidRDefault="004C1533" w:rsidP="00E70436">
      <w:pPr>
        <w:widowControl w:val="0"/>
      </w:pPr>
    </w:p>
    <w:p w14:paraId="0689CE75" w14:textId="77777777" w:rsidR="004C1533" w:rsidRDefault="004C1533" w:rsidP="00E70436">
      <w:pPr>
        <w:widowControl w:val="0"/>
        <w:jc w:val="center"/>
      </w:pPr>
    </w:p>
    <w:p w14:paraId="6FC20EAE" w14:textId="77777777" w:rsidR="004C1533" w:rsidRDefault="004C1533" w:rsidP="00E70436">
      <w:pPr>
        <w:widowControl w:val="0"/>
        <w:jc w:val="center"/>
      </w:pPr>
    </w:p>
    <w:p w14:paraId="2C3677DA" w14:textId="77777777" w:rsidR="00E70436" w:rsidRDefault="00E70436" w:rsidP="00E70436">
      <w:pPr>
        <w:jc w:val="center"/>
        <w:rPr>
          <w:rFonts w:cs="Times New Roman"/>
          <w:b/>
          <w:szCs w:val="24"/>
        </w:rPr>
      </w:pPr>
      <w:bookmarkStart w:id="0" w:name="_Hlk496738591"/>
      <w:r>
        <w:rPr>
          <w:rFonts w:cs="Times New Roman"/>
          <w:b/>
          <w:szCs w:val="24"/>
        </w:rPr>
        <w:t xml:space="preserve">Superstars Within Reach: The Role of Perceived Attainability &amp; Role Congruity </w:t>
      </w:r>
    </w:p>
    <w:p w14:paraId="40A0B8B1" w14:textId="77777777" w:rsidR="00E70436" w:rsidRDefault="00E70436" w:rsidP="00E70436">
      <w:pPr>
        <w:jc w:val="center"/>
        <w:rPr>
          <w:rFonts w:cs="Times New Roman"/>
          <w:b/>
          <w:szCs w:val="24"/>
        </w:rPr>
      </w:pPr>
      <w:r>
        <w:rPr>
          <w:rFonts w:cs="Times New Roman"/>
          <w:b/>
          <w:szCs w:val="24"/>
        </w:rPr>
        <w:t>in Media Role Models on Women’s Social Comparisons</w:t>
      </w:r>
    </w:p>
    <w:p w14:paraId="70DA379D" w14:textId="77777777" w:rsidR="00E70436" w:rsidRDefault="00E70436" w:rsidP="00E70436">
      <w:pPr>
        <w:jc w:val="center"/>
        <w:rPr>
          <w:rFonts w:cs="Times New Roman"/>
          <w:b/>
          <w:szCs w:val="24"/>
        </w:rPr>
      </w:pPr>
    </w:p>
    <w:p w14:paraId="7E946FA7" w14:textId="77777777" w:rsidR="00E70436" w:rsidRDefault="00E70436" w:rsidP="00E70436">
      <w:pPr>
        <w:jc w:val="center"/>
        <w:rPr>
          <w:rFonts w:cs="Times New Roman"/>
          <w:szCs w:val="24"/>
        </w:rPr>
      </w:pPr>
      <w:r>
        <w:rPr>
          <w:rFonts w:cs="Times New Roman"/>
          <w:szCs w:val="24"/>
        </w:rPr>
        <w:t xml:space="preserve">Kate T. Luong, Silvia Knobloch-Westerwick, &amp; Stefan </w:t>
      </w:r>
      <w:proofErr w:type="spellStart"/>
      <w:r>
        <w:rPr>
          <w:rFonts w:cs="Times New Roman"/>
          <w:szCs w:val="24"/>
        </w:rPr>
        <w:t>Niewiesk</w:t>
      </w:r>
      <w:proofErr w:type="spellEnd"/>
    </w:p>
    <w:p w14:paraId="1F8C4FFB" w14:textId="77777777" w:rsidR="00E70436" w:rsidRDefault="00E70436" w:rsidP="00E70436">
      <w:pPr>
        <w:jc w:val="center"/>
        <w:rPr>
          <w:rFonts w:cs="Times New Roman"/>
          <w:szCs w:val="24"/>
        </w:rPr>
      </w:pPr>
      <w:r>
        <w:rPr>
          <w:rFonts w:cs="Times New Roman"/>
          <w:szCs w:val="24"/>
        </w:rPr>
        <w:t>The Ohio State University</w:t>
      </w:r>
    </w:p>
    <w:p w14:paraId="64E522D4" w14:textId="77777777" w:rsidR="00E70436" w:rsidRDefault="00E70436" w:rsidP="00E70436">
      <w:pPr>
        <w:jc w:val="center"/>
        <w:rPr>
          <w:rFonts w:cs="Times New Roman"/>
          <w:szCs w:val="24"/>
        </w:rPr>
      </w:pPr>
    </w:p>
    <w:p w14:paraId="45760644" w14:textId="77777777" w:rsidR="00E70436" w:rsidRDefault="00E70436" w:rsidP="00E70436">
      <w:pPr>
        <w:jc w:val="center"/>
        <w:rPr>
          <w:rFonts w:cs="Times New Roman"/>
          <w:szCs w:val="24"/>
        </w:rPr>
      </w:pPr>
      <w:r>
        <w:rPr>
          <w:rFonts w:cs="Times New Roman"/>
          <w:szCs w:val="24"/>
        </w:rPr>
        <w:t>Contact Information:</w:t>
      </w:r>
    </w:p>
    <w:p w14:paraId="5BDB4414" w14:textId="77777777" w:rsidR="00E70436" w:rsidRDefault="00E70436" w:rsidP="00E70436">
      <w:pPr>
        <w:spacing w:line="360" w:lineRule="auto"/>
        <w:jc w:val="center"/>
        <w:rPr>
          <w:rFonts w:cs="Times New Roman"/>
          <w:szCs w:val="24"/>
        </w:rPr>
      </w:pPr>
      <w:r>
        <w:rPr>
          <w:rFonts w:cs="Times New Roman"/>
          <w:szCs w:val="24"/>
        </w:rPr>
        <w:t>Address: 3045F Derby Hall, 154 North Oval Mall, Columbus, OH 43210</w:t>
      </w:r>
    </w:p>
    <w:p w14:paraId="05CFAA41" w14:textId="77777777" w:rsidR="00E70436" w:rsidRDefault="00E70436" w:rsidP="00E70436">
      <w:pPr>
        <w:spacing w:line="360" w:lineRule="auto"/>
        <w:jc w:val="center"/>
        <w:rPr>
          <w:rFonts w:cs="Times New Roman"/>
          <w:szCs w:val="24"/>
        </w:rPr>
      </w:pPr>
      <w:r>
        <w:rPr>
          <w:rFonts w:cs="Times New Roman"/>
          <w:szCs w:val="24"/>
        </w:rPr>
        <w:t>Phone: (714) 928 8415</w:t>
      </w:r>
    </w:p>
    <w:p w14:paraId="0AC3442D" w14:textId="77777777" w:rsidR="00E70436" w:rsidRDefault="00E70436" w:rsidP="00E70436">
      <w:pPr>
        <w:spacing w:line="360" w:lineRule="auto"/>
        <w:jc w:val="center"/>
        <w:rPr>
          <w:rFonts w:cs="Times New Roman"/>
          <w:szCs w:val="24"/>
        </w:rPr>
      </w:pPr>
      <w:r>
        <w:rPr>
          <w:rFonts w:cs="Times New Roman"/>
          <w:szCs w:val="24"/>
        </w:rPr>
        <w:t>Email: luong.31@osu.edu</w:t>
      </w:r>
    </w:p>
    <w:p w14:paraId="001B2D8C" w14:textId="77777777" w:rsidR="00E70436" w:rsidRDefault="00E70436" w:rsidP="00E70436">
      <w:pPr>
        <w:rPr>
          <w:rFonts w:cs="Times New Roman"/>
          <w:szCs w:val="24"/>
        </w:rPr>
      </w:pPr>
    </w:p>
    <w:p w14:paraId="2DAEF401" w14:textId="77777777" w:rsidR="00E70436" w:rsidRDefault="00E70436" w:rsidP="00E70436">
      <w:pPr>
        <w:rPr>
          <w:rFonts w:cs="Times New Roman"/>
          <w:szCs w:val="24"/>
        </w:rPr>
      </w:pPr>
    </w:p>
    <w:p w14:paraId="2BD3A148" w14:textId="50D9D63E" w:rsidR="00E70436" w:rsidRDefault="00E70436" w:rsidP="00E70436">
      <w:pPr>
        <w:spacing w:line="360" w:lineRule="auto"/>
        <w:jc w:val="center"/>
        <w:rPr>
          <w:rFonts w:cs="Times New Roman"/>
          <w:szCs w:val="24"/>
        </w:rPr>
      </w:pPr>
      <w:r>
        <w:rPr>
          <w:rFonts w:cs="Times New Roman"/>
          <w:szCs w:val="24"/>
        </w:rPr>
        <w:t xml:space="preserve">Kate T. Luong, </w:t>
      </w:r>
      <w:r w:rsidR="009718F4">
        <w:rPr>
          <w:rFonts w:cs="Times New Roman"/>
          <w:szCs w:val="24"/>
        </w:rPr>
        <w:t>M</w:t>
      </w:r>
      <w:r>
        <w:rPr>
          <w:rFonts w:cs="Times New Roman"/>
          <w:szCs w:val="24"/>
        </w:rPr>
        <w:t>.A.</w:t>
      </w:r>
    </w:p>
    <w:p w14:paraId="70DF23FD" w14:textId="7D7838CB" w:rsidR="00E70436" w:rsidRDefault="009718F4" w:rsidP="00E70436">
      <w:pPr>
        <w:spacing w:line="360" w:lineRule="auto"/>
        <w:jc w:val="center"/>
        <w:rPr>
          <w:rFonts w:cs="Times New Roman"/>
          <w:szCs w:val="24"/>
        </w:rPr>
      </w:pPr>
      <w:r>
        <w:rPr>
          <w:rFonts w:cs="Times New Roman"/>
          <w:szCs w:val="24"/>
        </w:rPr>
        <w:t>The Ohio State University</w:t>
      </w:r>
    </w:p>
    <w:p w14:paraId="3B74A323" w14:textId="77777777" w:rsidR="00E70436" w:rsidRDefault="00E70436" w:rsidP="00E70436">
      <w:pPr>
        <w:spacing w:line="360" w:lineRule="auto"/>
        <w:jc w:val="center"/>
        <w:rPr>
          <w:rFonts w:cs="Times New Roman"/>
          <w:szCs w:val="24"/>
        </w:rPr>
      </w:pPr>
      <w:r>
        <w:rPr>
          <w:rFonts w:cs="Times New Roman"/>
          <w:szCs w:val="24"/>
        </w:rPr>
        <w:t>Silvia Knobloch-Westerwick, Ph.D.</w:t>
      </w:r>
    </w:p>
    <w:p w14:paraId="04A343DE" w14:textId="77777777" w:rsidR="00E70436" w:rsidRDefault="00E70436" w:rsidP="00E70436">
      <w:pPr>
        <w:spacing w:line="360" w:lineRule="auto"/>
        <w:jc w:val="center"/>
        <w:rPr>
          <w:rFonts w:cs="Times New Roman"/>
          <w:szCs w:val="24"/>
        </w:rPr>
      </w:pPr>
      <w:r>
        <w:rPr>
          <w:rFonts w:cs="Times New Roman"/>
          <w:szCs w:val="24"/>
        </w:rPr>
        <w:t>University of Music, Drama &amp; Media, Hanover, Germany</w:t>
      </w:r>
    </w:p>
    <w:p w14:paraId="066F6070" w14:textId="77777777" w:rsidR="00E70436" w:rsidRDefault="00E70436" w:rsidP="00E70436">
      <w:pPr>
        <w:spacing w:line="360" w:lineRule="auto"/>
        <w:jc w:val="center"/>
        <w:rPr>
          <w:rFonts w:cs="Times New Roman"/>
          <w:szCs w:val="24"/>
        </w:rPr>
      </w:pPr>
      <w:r>
        <w:rPr>
          <w:rFonts w:cs="Times New Roman"/>
          <w:szCs w:val="24"/>
        </w:rPr>
        <w:t xml:space="preserve">Stefan </w:t>
      </w:r>
      <w:proofErr w:type="spellStart"/>
      <w:r>
        <w:rPr>
          <w:rFonts w:cs="Times New Roman"/>
          <w:szCs w:val="24"/>
        </w:rPr>
        <w:t>Niewiesk</w:t>
      </w:r>
      <w:proofErr w:type="spellEnd"/>
      <w:r>
        <w:rPr>
          <w:rFonts w:cs="Times New Roman"/>
          <w:szCs w:val="24"/>
        </w:rPr>
        <w:t>, DVM, Ph.D.</w:t>
      </w:r>
    </w:p>
    <w:p w14:paraId="79D3526B" w14:textId="77777777" w:rsidR="00E70436" w:rsidRDefault="00E70436" w:rsidP="00E70436">
      <w:pPr>
        <w:spacing w:line="360" w:lineRule="auto"/>
        <w:jc w:val="center"/>
        <w:rPr>
          <w:rFonts w:cs="Times New Roman"/>
          <w:szCs w:val="24"/>
        </w:rPr>
      </w:pPr>
      <w:r>
        <w:rPr>
          <w:rFonts w:cs="Times New Roman"/>
          <w:szCs w:val="24"/>
        </w:rPr>
        <w:t>The University of Würzburg, Germany</w:t>
      </w:r>
    </w:p>
    <w:p w14:paraId="3B0DD9BE" w14:textId="317CE317" w:rsidR="00E70436" w:rsidRDefault="00E70436" w:rsidP="00E70436">
      <w:pPr>
        <w:spacing w:line="360" w:lineRule="auto"/>
        <w:jc w:val="center"/>
        <w:rPr>
          <w:rFonts w:cs="Times New Roman"/>
          <w:szCs w:val="24"/>
        </w:rPr>
      </w:pPr>
    </w:p>
    <w:p w14:paraId="1F20AFDE" w14:textId="77777777" w:rsidR="003D63BD" w:rsidRDefault="003D63BD" w:rsidP="00E70436">
      <w:pPr>
        <w:spacing w:line="360" w:lineRule="auto"/>
        <w:jc w:val="center"/>
        <w:rPr>
          <w:rFonts w:cs="Times New Roman"/>
          <w:szCs w:val="24"/>
        </w:rPr>
      </w:pPr>
      <w:bookmarkStart w:id="1" w:name="_GoBack"/>
      <w:bookmarkEnd w:id="1"/>
    </w:p>
    <w:p w14:paraId="71F22C70" w14:textId="729FC869" w:rsidR="00484361" w:rsidRDefault="00484361" w:rsidP="00E70436">
      <w:pPr>
        <w:spacing w:line="360" w:lineRule="auto"/>
        <w:jc w:val="center"/>
        <w:rPr>
          <w:rFonts w:cs="Times New Roman"/>
          <w:szCs w:val="24"/>
        </w:rPr>
      </w:pPr>
    </w:p>
    <w:p w14:paraId="70C8E029" w14:textId="77E1EE38" w:rsidR="003211B5" w:rsidRDefault="00484361" w:rsidP="003D63BD">
      <w:pPr>
        <w:spacing w:line="360" w:lineRule="auto"/>
        <w:jc w:val="center"/>
      </w:pPr>
      <w:r w:rsidRPr="00484361">
        <w:rPr>
          <w:rFonts w:cs="Times New Roman"/>
          <w:szCs w:val="24"/>
        </w:rPr>
        <w:t>This study was supported by The College of Veterinary Medicine, The Ohio State University</w:t>
      </w:r>
      <w:bookmarkEnd w:id="0"/>
    </w:p>
    <w:p w14:paraId="0AB79516" w14:textId="77777777" w:rsidR="00E70436" w:rsidRDefault="00E70436">
      <w:r>
        <w:br w:type="page"/>
      </w:r>
    </w:p>
    <w:p w14:paraId="705A5154" w14:textId="77777777" w:rsidR="00E70436" w:rsidRDefault="00E70436">
      <w:pPr>
        <w:widowControl w:val="0"/>
        <w:jc w:val="center"/>
      </w:pPr>
    </w:p>
    <w:p w14:paraId="123249D2" w14:textId="77777777" w:rsidR="00E70436" w:rsidRDefault="00E70436">
      <w:pPr>
        <w:widowControl w:val="0"/>
        <w:jc w:val="center"/>
      </w:pPr>
    </w:p>
    <w:p w14:paraId="68E401C7" w14:textId="77777777" w:rsidR="00E70436" w:rsidRDefault="00E70436">
      <w:pPr>
        <w:widowControl w:val="0"/>
        <w:jc w:val="center"/>
      </w:pPr>
    </w:p>
    <w:p w14:paraId="421D9E02" w14:textId="77777777" w:rsidR="00E70436" w:rsidRDefault="00E70436">
      <w:pPr>
        <w:widowControl w:val="0"/>
        <w:jc w:val="center"/>
      </w:pPr>
    </w:p>
    <w:p w14:paraId="654C8731" w14:textId="0E252588" w:rsidR="003211B5" w:rsidRDefault="003211B5" w:rsidP="00E70436">
      <w:pPr>
        <w:widowControl w:val="0"/>
        <w:jc w:val="center"/>
      </w:pPr>
      <w:r>
        <w:t>Abstract</w:t>
      </w:r>
    </w:p>
    <w:p w14:paraId="43EB5E35" w14:textId="77777777" w:rsidR="0026619C" w:rsidRDefault="003211B5" w:rsidP="00E70436">
      <w:pPr>
        <w:widowControl w:val="0"/>
      </w:pPr>
      <w:r>
        <w:t xml:space="preserve">Based on social comparison and role congruity theory, this study examined the effect of perceived attainability and role congruity in </w:t>
      </w:r>
      <w:r w:rsidR="004908D2">
        <w:t xml:space="preserve">media </w:t>
      </w:r>
      <w:r>
        <w:t xml:space="preserve">female role models on women’s social comparison and </w:t>
      </w:r>
      <w:r w:rsidR="004908D2">
        <w:t>career interest</w:t>
      </w:r>
      <w:r>
        <w:t xml:space="preserve">. A 2x2 experiment was conducted in which participants read a high or low attainability message, then portrayals of role models </w:t>
      </w:r>
      <w:r w:rsidR="00AA2506">
        <w:t xml:space="preserve">in </w:t>
      </w:r>
      <w:r w:rsidR="004908D2">
        <w:t>a</w:t>
      </w:r>
      <w:r w:rsidR="00AA2506">
        <w:t xml:space="preserve"> counter-stereotypical career </w:t>
      </w:r>
      <w:r>
        <w:t xml:space="preserve">with a family (high congruity to the female gender role) or without </w:t>
      </w:r>
      <w:r w:rsidRPr="002E17E9">
        <w:t xml:space="preserve">a family </w:t>
      </w:r>
      <w:r>
        <w:t>(low congruity</w:t>
      </w:r>
      <w:r w:rsidR="00AA2506">
        <w:t xml:space="preserve"> to the female gender role</w:t>
      </w:r>
      <w:r>
        <w:t>). Results showed that the high attainability message</w:t>
      </w:r>
      <w:r w:rsidR="004908D2">
        <w:t xml:space="preserve"> lead</w:t>
      </w:r>
      <w:r>
        <w:t xml:space="preserve"> to self-inspiration and higher career interest, but only when the portrayals were in a less self-relevant domain. Implications for </w:t>
      </w:r>
      <w:r w:rsidR="00AA2506">
        <w:t xml:space="preserve">the use of role models </w:t>
      </w:r>
      <w:r w:rsidR="004908D2">
        <w:t xml:space="preserve">to address the issue of </w:t>
      </w:r>
      <w:r>
        <w:t xml:space="preserve">female underrepresentation in STEM </w:t>
      </w:r>
      <w:r w:rsidR="004908D2">
        <w:t>fields</w:t>
      </w:r>
      <w:r>
        <w:t xml:space="preserve"> were discussed.</w:t>
      </w:r>
    </w:p>
    <w:p w14:paraId="3789F750" w14:textId="77777777" w:rsidR="004C1533" w:rsidRDefault="0026619C" w:rsidP="00E70436">
      <w:pPr>
        <w:widowControl w:val="0"/>
        <w:ind w:firstLine="720"/>
      </w:pPr>
      <w:r w:rsidRPr="00B13D85">
        <w:rPr>
          <w:i/>
        </w:rPr>
        <w:t>Keywords</w:t>
      </w:r>
      <w:r>
        <w:t xml:space="preserve">: social comparison, role congruity theory, role models, </w:t>
      </w:r>
      <w:r w:rsidR="00195886">
        <w:t xml:space="preserve">women in </w:t>
      </w:r>
      <w:r>
        <w:t>STEM, stere</w:t>
      </w:r>
      <w:r w:rsidR="008378DE">
        <w:t>otype</w:t>
      </w:r>
      <w:r w:rsidR="00536C24">
        <w:t xml:space="preserve">, </w:t>
      </w:r>
      <w:r w:rsidR="002849C9">
        <w:t>perceived attainability, upward comparison threat</w:t>
      </w:r>
      <w:r w:rsidR="004C1533">
        <w:br w:type="page"/>
      </w:r>
    </w:p>
    <w:p w14:paraId="18BFB1E7" w14:textId="31D3E393" w:rsidR="00773051" w:rsidRDefault="00DD0A5E" w:rsidP="00E70436">
      <w:pPr>
        <w:widowControl w:val="0"/>
        <w:ind w:firstLine="720"/>
      </w:pPr>
      <w:r w:rsidRPr="00DD0A5E">
        <w:lastRenderedPageBreak/>
        <w:t xml:space="preserve">Female underrepresentation in </w:t>
      </w:r>
      <w:r>
        <w:t>STEM (science, technology, engineering, and mathematic)</w:t>
      </w:r>
      <w:r w:rsidRPr="00DD0A5E">
        <w:t xml:space="preserve"> </w:t>
      </w:r>
      <w:r>
        <w:t>fields</w:t>
      </w:r>
      <w:r w:rsidRPr="00DD0A5E">
        <w:t xml:space="preserve"> has </w:t>
      </w:r>
      <w:r w:rsidR="00B13D85">
        <w:t xml:space="preserve">long </w:t>
      </w:r>
      <w:r w:rsidRPr="00DD0A5E">
        <w:t xml:space="preserve">been a persistent </w:t>
      </w:r>
      <w:r w:rsidR="00A57BB2">
        <w:t xml:space="preserve">and intractable </w:t>
      </w:r>
      <w:r w:rsidRPr="00DD0A5E">
        <w:t>problem (National Science Foundation</w:t>
      </w:r>
      <w:r w:rsidR="00BC42C5">
        <w:t xml:space="preserve"> [NSF]</w:t>
      </w:r>
      <w:r w:rsidRPr="00DD0A5E">
        <w:t>, 2015)</w:t>
      </w:r>
      <w:r>
        <w:t>. Worldwide, only 29% of researchers are women (</w:t>
      </w:r>
      <w:r w:rsidRPr="00833F39">
        <w:t>UNES</w:t>
      </w:r>
      <w:r w:rsidR="00B13D85" w:rsidRPr="00833F39">
        <w:t xml:space="preserve">CO Institute </w:t>
      </w:r>
      <w:r w:rsidR="00833F39">
        <w:t>for</w:t>
      </w:r>
      <w:r w:rsidR="00833F39" w:rsidRPr="00833F39">
        <w:t xml:space="preserve"> </w:t>
      </w:r>
      <w:r w:rsidR="00B13D85" w:rsidRPr="00833F39">
        <w:t>Statistics, 201</w:t>
      </w:r>
      <w:r w:rsidR="001F414C" w:rsidRPr="00E70436">
        <w:t>8</w:t>
      </w:r>
      <w:r>
        <w:t xml:space="preserve">). In </w:t>
      </w:r>
      <w:r w:rsidR="009C4AA5">
        <w:t>North America and Western Europe</w:t>
      </w:r>
      <w:r>
        <w:t>, that number is only slightly better at 3</w:t>
      </w:r>
      <w:r w:rsidR="001F414C">
        <w:t>2</w:t>
      </w:r>
      <w:r>
        <w:t xml:space="preserve">%, a </w:t>
      </w:r>
      <w:r w:rsidR="009C4AA5">
        <w:t xml:space="preserve">significant </w:t>
      </w:r>
      <w:r>
        <w:t xml:space="preserve">drop-off from the 48% of women </w:t>
      </w:r>
      <w:r w:rsidR="008F5A0A">
        <w:t>enrolled in doctoral programs</w:t>
      </w:r>
      <w:r w:rsidR="00EF6334">
        <w:t xml:space="preserve"> – a phenomenon known as the leaky pipeline problem</w:t>
      </w:r>
      <w:r w:rsidR="008F5A0A">
        <w:t>.</w:t>
      </w:r>
      <w:r>
        <w:t xml:space="preserve"> </w:t>
      </w:r>
      <w:r w:rsidR="008F5A0A">
        <w:t>Clearly, encouraging</w:t>
      </w:r>
      <w:r w:rsidR="00773051">
        <w:t xml:space="preserve"> women</w:t>
      </w:r>
      <w:r w:rsidR="008F5A0A">
        <w:t xml:space="preserve"> to</w:t>
      </w:r>
      <w:r w:rsidR="00773051">
        <w:t xml:space="preserve"> study STEM</w:t>
      </w:r>
      <w:r w:rsidR="008F5A0A">
        <w:t xml:space="preserve"> majors</w:t>
      </w:r>
      <w:r w:rsidR="00773051">
        <w:t xml:space="preserve"> may not </w:t>
      </w:r>
      <w:r w:rsidR="008F5A0A">
        <w:t xml:space="preserve">be enough if those who graduate do not </w:t>
      </w:r>
      <w:r w:rsidR="00773051">
        <w:t>choose</w:t>
      </w:r>
      <w:r w:rsidR="008F5A0A">
        <w:t xml:space="preserve"> to enter</w:t>
      </w:r>
      <w:r w:rsidR="00A57BB2">
        <w:t xml:space="preserve"> research</w:t>
      </w:r>
      <w:r w:rsidR="00773051">
        <w:t>-focused careers</w:t>
      </w:r>
      <w:r w:rsidR="008F5A0A">
        <w:t>.</w:t>
      </w:r>
      <w:r w:rsidR="00773051">
        <w:t xml:space="preserve"> </w:t>
      </w:r>
      <w:r w:rsidR="008F5A0A">
        <w:t xml:space="preserve">Thus, </w:t>
      </w:r>
      <w:r w:rsidR="00813428">
        <w:t>research into the type</w:t>
      </w:r>
      <w:r w:rsidR="00A57BB2">
        <w:t>s</w:t>
      </w:r>
      <w:r w:rsidR="00813428">
        <w:t xml:space="preserve"> of </w:t>
      </w:r>
      <w:r w:rsidR="008F5A0A">
        <w:t>m</w:t>
      </w:r>
      <w:r w:rsidR="00773051">
        <w:t xml:space="preserve">essages that can help bridge this gap is of societal importance if women’s potentials are to be fully realized and STEM disciplines </w:t>
      </w:r>
      <w:r w:rsidR="00A57BB2">
        <w:t>are to</w:t>
      </w:r>
      <w:r w:rsidR="00773051">
        <w:t xml:space="preserve"> benefit from these talents. </w:t>
      </w:r>
    </w:p>
    <w:p w14:paraId="0D189EEC" w14:textId="3373FD5E" w:rsidR="00AD5BFD" w:rsidRDefault="00BD596F" w:rsidP="00E70436">
      <w:pPr>
        <w:widowControl w:val="0"/>
        <w:ind w:firstLine="720"/>
      </w:pPr>
      <w:r>
        <w:t xml:space="preserve">Female role models, or portrayals of successful and high-achieving women, </w:t>
      </w:r>
      <w:r w:rsidR="009E345E">
        <w:t>are among the most commonly used messages to</w:t>
      </w:r>
      <w:r>
        <w:t xml:space="preserve"> inspire </w:t>
      </w:r>
      <w:r w:rsidRPr="00BD596F">
        <w:t xml:space="preserve">women’s interest and </w:t>
      </w:r>
      <w:r>
        <w:t>encourage their p</w:t>
      </w:r>
      <w:r w:rsidRPr="00BD596F">
        <w:t>articipation in male-dominated domains such as leadership ro</w:t>
      </w:r>
      <w:r>
        <w:t>les and STEM</w:t>
      </w:r>
      <w:r w:rsidRPr="00BD596F">
        <w:t xml:space="preserve"> fields (</w:t>
      </w:r>
      <w:r w:rsidR="00BC42C5">
        <w:t>Hoyt, 2013</w:t>
      </w:r>
      <w:r w:rsidRPr="00BD596F">
        <w:t xml:space="preserve">; Ramsey, Betz, &amp; </w:t>
      </w:r>
      <w:proofErr w:type="spellStart"/>
      <w:r w:rsidRPr="00BD596F">
        <w:t>Sekaquaptewa</w:t>
      </w:r>
      <w:proofErr w:type="spellEnd"/>
      <w:r w:rsidRPr="00BD596F">
        <w:t>, 2013)</w:t>
      </w:r>
      <w:r>
        <w:t xml:space="preserve">. These role models can </w:t>
      </w:r>
      <w:r w:rsidR="009E345E">
        <w:t xml:space="preserve">be </w:t>
      </w:r>
      <w:r>
        <w:t xml:space="preserve">real or mediated, and </w:t>
      </w:r>
      <w:r w:rsidRPr="00BD596F">
        <w:t xml:space="preserve">media role models </w:t>
      </w:r>
      <w:r w:rsidR="009E345E">
        <w:t>have been shown to</w:t>
      </w:r>
      <w:r w:rsidRPr="00BD596F">
        <w:t xml:space="preserve"> have powerful impact on individuals’ self-perceptions and life aspirations (</w:t>
      </w:r>
      <w:r w:rsidR="00913B20" w:rsidRPr="00E70436">
        <w:t>Knobloch-Westerwick</w:t>
      </w:r>
      <w:r w:rsidRPr="00833F39">
        <w:t>,</w:t>
      </w:r>
      <w:r w:rsidR="00913B20" w:rsidRPr="00E70436">
        <w:t xml:space="preserve"> Robinson, Willis, &amp; Luong,</w:t>
      </w:r>
      <w:r w:rsidRPr="00833F39">
        <w:t xml:space="preserve"> 2016</w:t>
      </w:r>
      <w:r w:rsidRPr="00BD596F">
        <w:t>).</w:t>
      </w:r>
      <w:r w:rsidR="009E345E">
        <w:t xml:space="preserve"> Within the context of women in STEM, role congruity theory (</w:t>
      </w:r>
      <w:proofErr w:type="spellStart"/>
      <w:r w:rsidR="009E345E">
        <w:t>Eagly</w:t>
      </w:r>
      <w:proofErr w:type="spellEnd"/>
      <w:r w:rsidR="009E345E">
        <w:t xml:space="preserve"> &amp; Karau, 2002) has guided the development of </w:t>
      </w:r>
      <w:r w:rsidR="000C1EB8">
        <w:t xml:space="preserve">a </w:t>
      </w:r>
      <w:r w:rsidR="009E345E">
        <w:t xml:space="preserve">specific type of role models, termed the </w:t>
      </w:r>
      <w:r w:rsidR="009E345E" w:rsidRPr="00B13D85">
        <w:rPr>
          <w:i/>
        </w:rPr>
        <w:t>feminine role models</w:t>
      </w:r>
      <w:r w:rsidR="009E345E">
        <w:t xml:space="preserve">. </w:t>
      </w:r>
      <w:r>
        <w:t>Extant</w:t>
      </w:r>
      <w:r w:rsidR="00773051">
        <w:t xml:space="preserve"> studies showed that </w:t>
      </w:r>
      <w:r w:rsidR="009E345E">
        <w:t xml:space="preserve">the perceived incongruity between the female gender role and the </w:t>
      </w:r>
      <w:r w:rsidR="00AD5BFD">
        <w:t>STEM career role is ingrained and widespread</w:t>
      </w:r>
      <w:r w:rsidR="00773051">
        <w:t xml:space="preserve">: </w:t>
      </w:r>
      <w:r w:rsidR="00813428">
        <w:t>T</w:t>
      </w:r>
      <w:r w:rsidR="00773051">
        <w:t>he prototypical scientist or engineer is thought to possess counter-stereotypical characteristics such as</w:t>
      </w:r>
      <w:r w:rsidR="00813428">
        <w:t xml:space="preserve"> being geeky, unfriendly, or not nurturing; and </w:t>
      </w:r>
      <w:r w:rsidR="000C1EB8">
        <w:t xml:space="preserve">younger </w:t>
      </w:r>
      <w:r w:rsidR="00813428">
        <w:t>f</w:t>
      </w:r>
      <w:r w:rsidR="00813428" w:rsidRPr="00813428">
        <w:t>emale students tend to perceive themselves as being different from th</w:t>
      </w:r>
      <w:r w:rsidR="00813428">
        <w:t>is stereotype and thus feel like they do not belong in these domains</w:t>
      </w:r>
      <w:r w:rsidR="00773051">
        <w:t xml:space="preserve"> (</w:t>
      </w:r>
      <w:r w:rsidR="00813428">
        <w:t xml:space="preserve">Archer et al., 2013; </w:t>
      </w:r>
      <w:proofErr w:type="spellStart"/>
      <w:r w:rsidR="008F5A0A">
        <w:rPr>
          <w:rStyle w:val="authorsname"/>
        </w:rPr>
        <w:t>Banchefsky</w:t>
      </w:r>
      <w:proofErr w:type="spellEnd"/>
      <w:r w:rsidR="008F5A0A">
        <w:rPr>
          <w:rStyle w:val="authorscontact"/>
        </w:rPr>
        <w:t>, Westfall, Park, &amp; Judd, 2016</w:t>
      </w:r>
      <w:r w:rsidR="00AD5BFD">
        <w:rPr>
          <w:rStyle w:val="authorscontact"/>
        </w:rPr>
        <w:t xml:space="preserve">; </w:t>
      </w:r>
      <w:r w:rsidR="00AD5BFD">
        <w:t xml:space="preserve">Master, </w:t>
      </w:r>
      <w:proofErr w:type="spellStart"/>
      <w:r w:rsidR="00AD5BFD">
        <w:t>Cheryan</w:t>
      </w:r>
      <w:proofErr w:type="spellEnd"/>
      <w:r w:rsidR="00AD5BFD">
        <w:t>, &amp; Meltzoff, 2016</w:t>
      </w:r>
      <w:r w:rsidR="00773051">
        <w:t xml:space="preserve">). </w:t>
      </w:r>
      <w:r w:rsidR="00AD5BFD">
        <w:t xml:space="preserve">Feminine role models, which portray female scientists with </w:t>
      </w:r>
      <w:r w:rsidR="00AD5BFD">
        <w:lastRenderedPageBreak/>
        <w:t>stereotypically feminine traits, were thus used to reduce th</w:t>
      </w:r>
      <w:r w:rsidR="00913B20">
        <w:t>is</w:t>
      </w:r>
      <w:r w:rsidR="00AD5BFD">
        <w:t xml:space="preserve"> perceived incongruity but to varying results (</w:t>
      </w:r>
      <w:r w:rsidR="00AD5BFD" w:rsidRPr="00AD5BFD">
        <w:t xml:space="preserve">Betz &amp; </w:t>
      </w:r>
      <w:proofErr w:type="spellStart"/>
      <w:r w:rsidR="00AD5BFD" w:rsidRPr="00AD5BFD">
        <w:t>Sekaquaptewa</w:t>
      </w:r>
      <w:proofErr w:type="spellEnd"/>
      <w:r w:rsidR="00AD5BFD" w:rsidRPr="00AD5BFD">
        <w:t>, 2012</w:t>
      </w:r>
      <w:r w:rsidR="00AD5BFD">
        <w:t xml:space="preserve">; Ziegler &amp; </w:t>
      </w:r>
      <w:proofErr w:type="spellStart"/>
      <w:r w:rsidR="00AD5BFD">
        <w:t>Stoeger</w:t>
      </w:r>
      <w:proofErr w:type="spellEnd"/>
      <w:r w:rsidR="00AD5BFD">
        <w:t xml:space="preserve">, 2008). </w:t>
      </w:r>
      <w:r w:rsidR="00A35BEA">
        <w:t xml:space="preserve">Upward social comparison process and the perceived attainability of the role models have been suggested to </w:t>
      </w:r>
      <w:r w:rsidR="00913B20">
        <w:t>account</w:t>
      </w:r>
      <w:r w:rsidR="00A35BEA">
        <w:t xml:space="preserve"> these inconsistencies (Lockwood &amp; </w:t>
      </w:r>
      <w:proofErr w:type="spellStart"/>
      <w:r w:rsidR="00A35BEA">
        <w:t>Kunda</w:t>
      </w:r>
      <w:proofErr w:type="spellEnd"/>
      <w:r w:rsidR="00A35BEA">
        <w:t xml:space="preserve">, 1997; </w:t>
      </w:r>
      <w:r w:rsidR="00A35BEA" w:rsidRPr="00A35BEA">
        <w:t>Park-</w:t>
      </w:r>
      <w:proofErr w:type="spellStart"/>
      <w:r w:rsidR="00A35BEA" w:rsidRPr="00A35BEA">
        <w:t>Stamms</w:t>
      </w:r>
      <w:proofErr w:type="spellEnd"/>
      <w:r w:rsidR="00A35BEA" w:rsidRPr="00A35BEA">
        <w:t>, Heilman</w:t>
      </w:r>
      <w:r w:rsidR="001B4BA0">
        <w:t xml:space="preserve"> &amp; </w:t>
      </w:r>
      <w:proofErr w:type="spellStart"/>
      <w:r w:rsidR="00A35BEA" w:rsidRPr="00A35BEA">
        <w:t>Hearns</w:t>
      </w:r>
      <w:proofErr w:type="spellEnd"/>
      <w:r w:rsidR="00A35BEA" w:rsidRPr="00A35BEA">
        <w:t>, 2008</w:t>
      </w:r>
      <w:r w:rsidR="00A35BEA">
        <w:t>).</w:t>
      </w:r>
    </w:p>
    <w:p w14:paraId="04957976" w14:textId="54E86F07" w:rsidR="0007784C" w:rsidRDefault="00773051" w:rsidP="00E70436">
      <w:pPr>
        <w:widowControl w:val="0"/>
        <w:ind w:firstLine="720"/>
      </w:pPr>
      <w:r>
        <w:t xml:space="preserve">There is, however, less research on the population of female STEM students </w:t>
      </w:r>
      <w:r w:rsidR="000C1EB8">
        <w:t xml:space="preserve">who </w:t>
      </w:r>
      <w:r w:rsidR="006E39CC">
        <w:t>are mak</w:t>
      </w:r>
      <w:r w:rsidR="000C1EB8">
        <w:t>ing</w:t>
      </w:r>
      <w:r w:rsidR="006E39CC">
        <w:t xml:space="preserve"> decisions </w:t>
      </w:r>
      <w:r w:rsidR="000C1EB8">
        <w:t xml:space="preserve">about </w:t>
      </w:r>
      <w:r w:rsidR="00AD5BFD">
        <w:t>pursu</w:t>
      </w:r>
      <w:r w:rsidR="000C1EB8">
        <w:t>ing</w:t>
      </w:r>
      <w:r w:rsidR="006E39CC">
        <w:t xml:space="preserve"> or discontinu</w:t>
      </w:r>
      <w:r w:rsidR="000C1EB8">
        <w:t>ing</w:t>
      </w:r>
      <w:r w:rsidR="00AD5BFD">
        <w:t xml:space="preserve"> research</w:t>
      </w:r>
      <w:r w:rsidR="006E39CC">
        <w:t xml:space="preserve">-oriented career paths. </w:t>
      </w:r>
      <w:r w:rsidR="0007784C">
        <w:t>In 2015</w:t>
      </w:r>
      <w:r w:rsidR="00DE00B1">
        <w:t>, among scientists and engineers who are not working, 28% of women reported family responsibilities for their unemployment status, compared to 6.25% of men. Similarly, 49.2</w:t>
      </w:r>
      <w:r w:rsidR="0007784C">
        <w:t>1</w:t>
      </w:r>
      <w:r w:rsidR="00DE00B1">
        <w:t xml:space="preserve">% of women chose to work part-time for this reason, compared to </w:t>
      </w:r>
      <w:r w:rsidR="0007784C">
        <w:t>19% of men (N</w:t>
      </w:r>
      <w:r w:rsidR="00BC42C5">
        <w:t>SF</w:t>
      </w:r>
      <w:r w:rsidR="0007784C">
        <w:t>, 2015).</w:t>
      </w:r>
      <w:r w:rsidR="00DE00B1">
        <w:t xml:space="preserve"> </w:t>
      </w:r>
      <w:r w:rsidR="0007784C">
        <w:t xml:space="preserve">Clearly, the incongruity between the female gender role and the STEM career role does perpetuate to this level, contributing </w:t>
      </w:r>
      <w:r w:rsidR="002846E1">
        <w:t>to the leaky pipeline problem</w:t>
      </w:r>
      <w:r w:rsidR="000C1EB8">
        <w:t>, but one that can be addressed by female role model messages (</w:t>
      </w:r>
      <w:r w:rsidR="002846E1" w:rsidRPr="00A14F08">
        <w:t xml:space="preserve">Drury, </w:t>
      </w:r>
      <w:proofErr w:type="spellStart"/>
      <w:r w:rsidR="002D7013" w:rsidRPr="00A14F08">
        <w:t>Siy</w:t>
      </w:r>
      <w:proofErr w:type="spellEnd"/>
      <w:r w:rsidR="002D7013" w:rsidRPr="00A14F08">
        <w:t xml:space="preserve">, </w:t>
      </w:r>
      <w:r w:rsidR="000C1EB8">
        <w:t>&amp;</w:t>
      </w:r>
      <w:r w:rsidR="000C1EB8" w:rsidRPr="00A14F08">
        <w:t xml:space="preserve"> </w:t>
      </w:r>
      <w:proofErr w:type="spellStart"/>
      <w:r w:rsidR="002D7013" w:rsidRPr="00A14F08">
        <w:t>Cheryan</w:t>
      </w:r>
      <w:proofErr w:type="spellEnd"/>
      <w:r w:rsidR="000C1EB8">
        <w:t xml:space="preserve">, </w:t>
      </w:r>
      <w:r w:rsidR="002D7013" w:rsidRPr="00A14F08">
        <w:t>2011)</w:t>
      </w:r>
      <w:r w:rsidR="002D7013">
        <w:t>.</w:t>
      </w:r>
    </w:p>
    <w:p w14:paraId="75616068" w14:textId="16D20CBD" w:rsidR="00A433C6" w:rsidRDefault="00A57BB2" w:rsidP="00E70436">
      <w:pPr>
        <w:widowControl w:val="0"/>
        <w:ind w:firstLine="720"/>
      </w:pPr>
      <w:r>
        <w:t>Against this backdrop, t</w:t>
      </w:r>
      <w:r w:rsidR="00411989">
        <w:t xml:space="preserve">he current study </w:t>
      </w:r>
      <w:r w:rsidR="000E6C2E">
        <w:t xml:space="preserve">has several </w:t>
      </w:r>
      <w:r w:rsidR="00411989">
        <w:t>aims</w:t>
      </w:r>
      <w:r w:rsidR="000E6C2E">
        <w:t>. First, we want to</w:t>
      </w:r>
      <w:r w:rsidR="00411989">
        <w:t xml:space="preserve"> examine </w:t>
      </w:r>
      <w:r w:rsidR="000E6C2E">
        <w:t xml:space="preserve">whether </w:t>
      </w:r>
      <w:r w:rsidR="00411989">
        <w:t xml:space="preserve">the use of </w:t>
      </w:r>
      <w:r w:rsidR="000E6C2E">
        <w:t>feminine</w:t>
      </w:r>
      <w:r w:rsidR="00411989">
        <w:t xml:space="preserve"> role models</w:t>
      </w:r>
      <w:r w:rsidR="000E6C2E">
        <w:t xml:space="preserve">, </w:t>
      </w:r>
      <w:r w:rsidR="006D36BF">
        <w:t xml:space="preserve">as proposed by </w:t>
      </w:r>
      <w:r w:rsidR="006D36BF" w:rsidRPr="00B13D85">
        <w:rPr>
          <w:i/>
        </w:rPr>
        <w:t>role congruity theory</w:t>
      </w:r>
      <w:r w:rsidR="00851C3C">
        <w:t>, can effectively reconcile the gap between the career role and the family role</w:t>
      </w:r>
      <w:r w:rsidR="000E6C2E">
        <w:t xml:space="preserve"> </w:t>
      </w:r>
      <w:r w:rsidR="00851C3C">
        <w:t xml:space="preserve">and </w:t>
      </w:r>
      <w:r w:rsidR="000E6C2E">
        <w:t>red</w:t>
      </w:r>
      <w:r w:rsidR="00851C3C">
        <w:t xml:space="preserve">uce the attrition </w:t>
      </w:r>
      <w:r w:rsidR="000E6C2E">
        <w:t xml:space="preserve">between the </w:t>
      </w:r>
      <w:r w:rsidR="000C1EB8">
        <w:t xml:space="preserve">STEM </w:t>
      </w:r>
      <w:r w:rsidR="000E6C2E">
        <w:t>education and the career levels</w:t>
      </w:r>
      <w:r w:rsidR="00411989">
        <w:t xml:space="preserve">. </w:t>
      </w:r>
      <w:r w:rsidR="000E6C2E">
        <w:t xml:space="preserve">To this end, we use a sample of </w:t>
      </w:r>
      <w:r w:rsidR="000E6C2E" w:rsidRPr="000E6C2E">
        <w:t xml:space="preserve">female </w:t>
      </w:r>
      <w:r w:rsidR="000E6C2E">
        <w:t xml:space="preserve">professional </w:t>
      </w:r>
      <w:r w:rsidR="000E6C2E" w:rsidRPr="000E6C2E">
        <w:t>students studying veterinary medicine</w:t>
      </w:r>
      <w:r w:rsidR="00851C3C">
        <w:t xml:space="preserve"> whose career options include becoming</w:t>
      </w:r>
      <w:r w:rsidR="000E6C2E" w:rsidRPr="000E6C2E">
        <w:t xml:space="preserve"> a clinician (a</w:t>
      </w:r>
      <w:r w:rsidR="0007784C">
        <w:t xml:space="preserve"> female-typed career path in this</w:t>
      </w:r>
      <w:r w:rsidR="000E6C2E" w:rsidRPr="000E6C2E">
        <w:t xml:space="preserve"> field) or a researcher (a male-typed career path</w:t>
      </w:r>
      <w:proofErr w:type="gramStart"/>
      <w:r w:rsidR="000E6C2E" w:rsidRPr="000E6C2E">
        <w:t>)</w:t>
      </w:r>
      <w:r w:rsidR="00A35BEA">
        <w:t>, and</w:t>
      </w:r>
      <w:proofErr w:type="gramEnd"/>
      <w:r w:rsidR="00A35BEA">
        <w:t xml:space="preserve"> present them with portrayals of female researchers with or without a family</w:t>
      </w:r>
      <w:r w:rsidR="000E6C2E" w:rsidRPr="000E6C2E">
        <w:t>.</w:t>
      </w:r>
      <w:r w:rsidR="00851C3C">
        <w:t xml:space="preserve"> </w:t>
      </w:r>
      <w:r w:rsidR="000E6C2E">
        <w:t>Second</w:t>
      </w:r>
      <w:r w:rsidR="00411989">
        <w:t xml:space="preserve">, we use </w:t>
      </w:r>
      <w:r w:rsidR="00411989" w:rsidRPr="00B13D85">
        <w:rPr>
          <w:i/>
        </w:rPr>
        <w:t>social comparison theory</w:t>
      </w:r>
      <w:r w:rsidR="00411989">
        <w:t xml:space="preserve"> </w:t>
      </w:r>
      <w:r w:rsidR="00FF7C0A">
        <w:t>(Festinger, 1954)</w:t>
      </w:r>
      <w:r w:rsidR="00851C3C">
        <w:t xml:space="preserve"> and </w:t>
      </w:r>
      <w:r w:rsidR="00851C3C" w:rsidRPr="00B13D85">
        <w:rPr>
          <w:i/>
        </w:rPr>
        <w:t>role salience</w:t>
      </w:r>
      <w:r w:rsidR="00FF7C0A">
        <w:t xml:space="preserve"> </w:t>
      </w:r>
      <w:r>
        <w:t>(</w:t>
      </w:r>
      <w:proofErr w:type="spellStart"/>
      <w:r>
        <w:t>Luchetta</w:t>
      </w:r>
      <w:proofErr w:type="spellEnd"/>
      <w:r>
        <w:t xml:space="preserve">, 1995) </w:t>
      </w:r>
      <w:r w:rsidR="00D32367">
        <w:t>to contextualize the inconsistent findings</w:t>
      </w:r>
      <w:r>
        <w:t xml:space="preserve"> in previous works and</w:t>
      </w:r>
      <w:r w:rsidR="000C1EB8">
        <w:t xml:space="preserve">, as well as proposed a </w:t>
      </w:r>
      <w:r>
        <w:t>new message strateg</w:t>
      </w:r>
      <w:r w:rsidR="000C1EB8">
        <w:t>y</w:t>
      </w:r>
      <w:r>
        <w:t>. To this end, we</w:t>
      </w:r>
      <w:r w:rsidR="00D32367">
        <w:t xml:space="preserve"> </w:t>
      </w:r>
      <w:r>
        <w:t>introduce and test</w:t>
      </w:r>
      <w:r w:rsidR="00D32367">
        <w:t xml:space="preserve"> </w:t>
      </w:r>
      <w:r>
        <w:t xml:space="preserve">a new type of attainability message </w:t>
      </w:r>
      <w:r w:rsidR="007770D7">
        <w:t>that can</w:t>
      </w:r>
      <w:r w:rsidR="000C1EB8">
        <w:t xml:space="preserve"> potentially</w:t>
      </w:r>
      <w:r w:rsidR="007770D7">
        <w:t xml:space="preserve"> increase the effectiveness of media role </w:t>
      </w:r>
      <w:proofErr w:type="gramStart"/>
      <w:r w:rsidR="007770D7">
        <w:t>models</w:t>
      </w:r>
      <w:r>
        <w:t>, and</w:t>
      </w:r>
      <w:proofErr w:type="gramEnd"/>
      <w:r>
        <w:t xml:space="preserve"> examine the moderating effect of </w:t>
      </w:r>
      <w:r w:rsidR="00C75E02">
        <w:t>role salience</w:t>
      </w:r>
      <w:r w:rsidR="007770D7">
        <w:t xml:space="preserve">. </w:t>
      </w:r>
      <w:r w:rsidR="00F744CC">
        <w:t xml:space="preserve">Taken </w:t>
      </w:r>
      <w:r w:rsidR="00F744CC">
        <w:lastRenderedPageBreak/>
        <w:t xml:space="preserve">together, the findings of this study can help shed light on </w:t>
      </w:r>
      <w:r w:rsidR="006D36BF">
        <w:t xml:space="preserve">the nuanced psychological process in response to exposure to media role models, and thus delineate the </w:t>
      </w:r>
      <w:r w:rsidR="00851C3C">
        <w:t xml:space="preserve">message designs </w:t>
      </w:r>
      <w:r w:rsidR="006D36BF">
        <w:t>that are most conducive for these portrayals to produce positive impact.</w:t>
      </w:r>
    </w:p>
    <w:p w14:paraId="33BC6CFE" w14:textId="77777777" w:rsidR="002D23ED" w:rsidRDefault="002D23ED" w:rsidP="00E70436">
      <w:pPr>
        <w:pStyle w:val="Heading1"/>
        <w:widowControl w:val="0"/>
        <w:spacing w:beforeAutospacing="0" w:afterAutospacing="0" w:line="480" w:lineRule="auto"/>
      </w:pPr>
      <w:r w:rsidRPr="002D23ED">
        <w:t>Role Congruity Theory &amp; Female Role Models</w:t>
      </w:r>
    </w:p>
    <w:p w14:paraId="5EAE25D0" w14:textId="320723DE" w:rsidR="003D651B" w:rsidRDefault="00F278BE" w:rsidP="00E70436">
      <w:pPr>
        <w:widowControl w:val="0"/>
      </w:pPr>
      <w:r>
        <w:tab/>
        <w:t>Role congruity theory (</w:t>
      </w:r>
      <w:proofErr w:type="spellStart"/>
      <w:r>
        <w:t>Eagly</w:t>
      </w:r>
      <w:proofErr w:type="spellEnd"/>
      <w:r>
        <w:t xml:space="preserve"> &amp; Karau, 2002) posits that there exists a perceived incongruity between the female gender role and the leadership role. </w:t>
      </w:r>
      <w:r w:rsidR="003D651B">
        <w:t xml:space="preserve">As a social role, a gender role is a set of </w:t>
      </w:r>
      <w:r w:rsidR="00B1159B">
        <w:t xml:space="preserve">beliefs and </w:t>
      </w:r>
      <w:r w:rsidR="003D651B">
        <w:t>expectations</w:t>
      </w:r>
      <w:r w:rsidR="00B1159B">
        <w:t xml:space="preserve"> for</w:t>
      </w:r>
      <w:r w:rsidR="003D651B">
        <w:t xml:space="preserve"> behaviors, activities, or tasks deemed appropriate for people of said gender (</w:t>
      </w:r>
      <w:proofErr w:type="spellStart"/>
      <w:r w:rsidR="003D651B" w:rsidRPr="000962AF">
        <w:t>Eagly</w:t>
      </w:r>
      <w:proofErr w:type="spellEnd"/>
      <w:r w:rsidR="003D651B" w:rsidRPr="000962AF">
        <w:t>, 1987</w:t>
      </w:r>
      <w:r w:rsidR="003D651B">
        <w:t>). For example, men are expected to engage in behaviors to fulfill the breadwinner role, and women the homemaker role</w:t>
      </w:r>
      <w:r w:rsidR="003D651B" w:rsidRPr="000962AF">
        <w:t>.</w:t>
      </w:r>
      <w:r w:rsidR="003D651B">
        <w:t xml:space="preserve"> From this behavioral</w:t>
      </w:r>
      <w:r w:rsidR="00DF6A1A">
        <w:t xml:space="preserve"> role</w:t>
      </w:r>
      <w:r w:rsidR="003D651B">
        <w:t xml:space="preserve"> expectation, people then infer traits and characteristics appropriate for each gender; that is</w:t>
      </w:r>
      <w:r w:rsidR="00B1159B">
        <w:t xml:space="preserve">, </w:t>
      </w:r>
      <w:r w:rsidR="003D651B">
        <w:t xml:space="preserve">because women are expected to fulfill a caregiver role, they are also </w:t>
      </w:r>
      <w:r w:rsidR="00DB09B2">
        <w:t xml:space="preserve">assumed and </w:t>
      </w:r>
      <w:r w:rsidR="003D651B">
        <w:t>expected to be caring and nurturing</w:t>
      </w:r>
      <w:r w:rsidR="00DB09B2">
        <w:t xml:space="preserve"> (</w:t>
      </w:r>
      <w:proofErr w:type="spellStart"/>
      <w:r w:rsidR="00DB09B2" w:rsidRPr="000962AF">
        <w:t>Eagly</w:t>
      </w:r>
      <w:proofErr w:type="spellEnd"/>
      <w:r w:rsidR="00DB09B2" w:rsidRPr="000962AF">
        <w:t xml:space="preserve"> &amp; Wood, 1999</w:t>
      </w:r>
      <w:r w:rsidR="00DB09B2">
        <w:t>)</w:t>
      </w:r>
      <w:r w:rsidR="003D651B">
        <w:t xml:space="preserve">. </w:t>
      </w:r>
      <w:r w:rsidR="00DB09B2">
        <w:t xml:space="preserve">Thus, a gender role consists of both </w:t>
      </w:r>
      <w:r w:rsidR="00DF6A1A" w:rsidRPr="00DF6A1A">
        <w:rPr>
          <w:i/>
        </w:rPr>
        <w:t>role</w:t>
      </w:r>
      <w:r w:rsidR="00DB09B2">
        <w:t xml:space="preserve"> and </w:t>
      </w:r>
      <w:r w:rsidR="00DB09B2" w:rsidRPr="00DF6A1A">
        <w:rPr>
          <w:i/>
        </w:rPr>
        <w:t>trait</w:t>
      </w:r>
      <w:r w:rsidR="00DB09B2">
        <w:t xml:space="preserve"> expectations of what </w:t>
      </w:r>
      <w:r w:rsidR="00DF6A1A">
        <w:t>people</w:t>
      </w:r>
      <w:r w:rsidR="00DB09B2">
        <w:t xml:space="preserve"> </w:t>
      </w:r>
      <w:r w:rsidR="00DB09B2" w:rsidRPr="00DB09B2">
        <w:rPr>
          <w:i/>
        </w:rPr>
        <w:t>do</w:t>
      </w:r>
      <w:r w:rsidR="00DB09B2">
        <w:t xml:space="preserve"> </w:t>
      </w:r>
      <w:r w:rsidR="00DF6A1A">
        <w:t xml:space="preserve">and how people </w:t>
      </w:r>
      <w:r w:rsidR="00DF6A1A" w:rsidRPr="00DF6A1A">
        <w:rPr>
          <w:i/>
        </w:rPr>
        <w:t>are</w:t>
      </w:r>
      <w:r w:rsidR="00DF6A1A">
        <w:t xml:space="preserve"> </w:t>
      </w:r>
      <w:r w:rsidR="00DB09B2">
        <w:t>based on their gender.</w:t>
      </w:r>
    </w:p>
    <w:p w14:paraId="59ED78B9" w14:textId="512C1588" w:rsidR="00B1159B" w:rsidRDefault="00DB09B2" w:rsidP="00E70436">
      <w:pPr>
        <w:widowControl w:val="0"/>
      </w:pPr>
      <w:r>
        <w:tab/>
        <w:t xml:space="preserve">Further, a gender role includes include both the </w:t>
      </w:r>
      <w:r w:rsidRPr="000A7AD0">
        <w:rPr>
          <w:i/>
        </w:rPr>
        <w:t>descriptive</w:t>
      </w:r>
      <w:r>
        <w:t xml:space="preserve"> norm, or belief about how people of a given gender </w:t>
      </w:r>
      <w:r w:rsidRPr="000A7AD0">
        <w:rPr>
          <w:i/>
        </w:rPr>
        <w:t>are</w:t>
      </w:r>
      <w:r>
        <w:rPr>
          <w:i/>
        </w:rPr>
        <w:t xml:space="preserve"> </w:t>
      </w:r>
      <w:r>
        <w:t xml:space="preserve">and what they </w:t>
      </w:r>
      <w:r w:rsidRPr="00DB09B2">
        <w:rPr>
          <w:i/>
        </w:rPr>
        <w:t>do</w:t>
      </w:r>
      <w:r>
        <w:rPr>
          <w:i/>
        </w:rPr>
        <w:t xml:space="preserve"> </w:t>
      </w:r>
      <w:r>
        <w:t>(</w:t>
      </w:r>
      <w:proofErr w:type="gramStart"/>
      <w:r>
        <w:t>similar to</w:t>
      </w:r>
      <w:proofErr w:type="gramEnd"/>
      <w:r>
        <w:t xml:space="preserve"> a stereotype); and </w:t>
      </w:r>
      <w:r w:rsidRPr="000A7AD0">
        <w:rPr>
          <w:i/>
        </w:rPr>
        <w:t>injunctive</w:t>
      </w:r>
      <w:r>
        <w:t xml:space="preserve"> norm, or belief about how they </w:t>
      </w:r>
      <w:r w:rsidRPr="000A7AD0">
        <w:rPr>
          <w:i/>
        </w:rPr>
        <w:t>should be</w:t>
      </w:r>
      <w:r>
        <w:rPr>
          <w:i/>
        </w:rPr>
        <w:t xml:space="preserve"> </w:t>
      </w:r>
      <w:r>
        <w:t xml:space="preserve">and what they </w:t>
      </w:r>
      <w:r w:rsidRPr="00DB09B2">
        <w:rPr>
          <w:i/>
        </w:rPr>
        <w:t>should do</w:t>
      </w:r>
      <w:r>
        <w:t xml:space="preserve">. For the female gender role, women are </w:t>
      </w:r>
      <w:r w:rsidR="00B1159B" w:rsidRPr="00B1159B">
        <w:rPr>
          <w:i/>
        </w:rPr>
        <w:t>assumed</w:t>
      </w:r>
      <w:r w:rsidR="00B1159B">
        <w:t xml:space="preserve"> </w:t>
      </w:r>
      <w:r w:rsidR="002A38F5">
        <w:t xml:space="preserve">(descriptive) </w:t>
      </w:r>
      <w:r w:rsidR="00B1159B">
        <w:t xml:space="preserve">and </w:t>
      </w:r>
      <w:r w:rsidRPr="00B1159B">
        <w:rPr>
          <w:i/>
        </w:rPr>
        <w:t>expected</w:t>
      </w:r>
      <w:r>
        <w:t xml:space="preserve"> </w:t>
      </w:r>
      <w:r w:rsidR="002A38F5">
        <w:t xml:space="preserve">(injunctive) </w:t>
      </w:r>
      <w:r>
        <w:t xml:space="preserve">to carry out </w:t>
      </w:r>
      <w:r w:rsidRPr="00B1159B">
        <w:rPr>
          <w:i/>
        </w:rPr>
        <w:t>communal</w:t>
      </w:r>
      <w:r>
        <w:t xml:space="preserve"> roles</w:t>
      </w:r>
      <w:r w:rsidR="00B1159B">
        <w:t xml:space="preserve"> (such as a </w:t>
      </w:r>
      <w:r w:rsidR="002A38F5" w:rsidRPr="002A38F5">
        <w:t xml:space="preserve">caregiver </w:t>
      </w:r>
      <w:r w:rsidR="002A38F5">
        <w:t xml:space="preserve">or </w:t>
      </w:r>
      <w:r w:rsidR="00B1159B">
        <w:t>homemaker)</w:t>
      </w:r>
      <w:r>
        <w:t xml:space="preserve"> and embody </w:t>
      </w:r>
      <w:r w:rsidRPr="00B1159B">
        <w:rPr>
          <w:i/>
        </w:rPr>
        <w:t>communal</w:t>
      </w:r>
      <w:r>
        <w:t xml:space="preserve"> traits </w:t>
      </w:r>
      <w:r w:rsidRPr="00DB09B2">
        <w:t>(such as being caring, helpful, and gentle) (</w:t>
      </w:r>
      <w:proofErr w:type="spellStart"/>
      <w:r w:rsidRPr="00DB09B2">
        <w:t>Eagly</w:t>
      </w:r>
      <w:proofErr w:type="spellEnd"/>
      <w:r w:rsidRPr="00DB09B2">
        <w:t>, 1987)</w:t>
      </w:r>
      <w:r w:rsidR="00B1159B">
        <w:t>. This association between the female gender role and communal traits remain</w:t>
      </w:r>
      <w:r w:rsidR="00805719">
        <w:t>s</w:t>
      </w:r>
      <w:r w:rsidR="00B1159B">
        <w:t xml:space="preserve"> salient even for women who are occupying non-communal roles, and thus creates a perceived incongruity. </w:t>
      </w:r>
    </w:p>
    <w:p w14:paraId="063D3B16" w14:textId="2588930F" w:rsidR="00F04B46" w:rsidRDefault="002A38F5" w:rsidP="00E70436">
      <w:pPr>
        <w:widowControl w:val="0"/>
        <w:ind w:firstLine="720"/>
      </w:pPr>
      <w:r>
        <w:t>More specifically, r</w:t>
      </w:r>
      <w:r w:rsidR="00B1159B">
        <w:t xml:space="preserve">ole congruity theory focuses on the perceived incongruity between the female gender role and </w:t>
      </w:r>
      <w:r w:rsidR="00F04B46">
        <w:t>the leadership role</w:t>
      </w:r>
      <w:r w:rsidR="00805719">
        <w:t xml:space="preserve">, </w:t>
      </w:r>
      <w:r>
        <w:t xml:space="preserve">which </w:t>
      </w:r>
      <w:r w:rsidR="00F04B46">
        <w:t xml:space="preserve">is thought to required predominantly </w:t>
      </w:r>
      <w:r w:rsidR="00F04B46" w:rsidRPr="00B13D85">
        <w:rPr>
          <w:i/>
        </w:rPr>
        <w:t>agentic</w:t>
      </w:r>
      <w:r w:rsidR="00F04B46">
        <w:t xml:space="preserve"> qualities (</w:t>
      </w:r>
      <w:r w:rsidR="00B1159B">
        <w:t xml:space="preserve">such as </w:t>
      </w:r>
      <w:r w:rsidR="00D05E60">
        <w:t xml:space="preserve">competence, </w:t>
      </w:r>
      <w:r w:rsidR="00F04B46">
        <w:t>such as being strong, forceful, competitive, and dominant)</w:t>
      </w:r>
      <w:r w:rsidR="00E8647E">
        <w:t xml:space="preserve"> instead </w:t>
      </w:r>
      <w:r w:rsidR="00E8647E">
        <w:lastRenderedPageBreak/>
        <w:t xml:space="preserve">of </w:t>
      </w:r>
      <w:r w:rsidR="00E8647E" w:rsidRPr="00805719">
        <w:rPr>
          <w:i/>
        </w:rPr>
        <w:t>communal</w:t>
      </w:r>
      <w:r w:rsidR="00E8647E">
        <w:t xml:space="preserve"> qualities</w:t>
      </w:r>
      <w:r w:rsidR="00EF6334">
        <w:t xml:space="preserve">. </w:t>
      </w:r>
      <w:r w:rsidR="00F04B46">
        <w:t>This perceived incongruity led to two prejudices against women</w:t>
      </w:r>
      <w:r w:rsidR="00805719">
        <w:t xml:space="preserve"> in leadership role</w:t>
      </w:r>
      <w:r w:rsidR="00F04B46">
        <w:t xml:space="preserve">. First, women are more likely to be </w:t>
      </w:r>
      <w:r w:rsidR="00612D94">
        <w:t xml:space="preserve">judged as being less suited </w:t>
      </w:r>
      <w:r w:rsidR="00F04B46">
        <w:t>to be leaders</w:t>
      </w:r>
      <w:r w:rsidR="00612D94">
        <w:t xml:space="preserve"> than men (because of the </w:t>
      </w:r>
      <w:r w:rsidR="00612D94" w:rsidRPr="00B13D85">
        <w:rPr>
          <w:i/>
        </w:rPr>
        <w:t>descriptive</w:t>
      </w:r>
      <w:r w:rsidR="00612D94">
        <w:t xml:space="preserve"> norm – people who </w:t>
      </w:r>
      <w:r w:rsidR="00612D94" w:rsidRPr="00B13D85">
        <w:rPr>
          <w:i/>
        </w:rPr>
        <w:t>are</w:t>
      </w:r>
      <w:r w:rsidR="00612D94">
        <w:t xml:space="preserve"> inherently communal are not suited for an agentic role)</w:t>
      </w:r>
      <w:r w:rsidR="00F04B46">
        <w:t xml:space="preserve">; and second, when women exhibit leadership qualities, they are </w:t>
      </w:r>
      <w:r w:rsidR="00D2282B">
        <w:t xml:space="preserve">evaluated more </w:t>
      </w:r>
      <w:r w:rsidR="00F04B46">
        <w:t xml:space="preserve">negatively </w:t>
      </w:r>
      <w:r w:rsidR="00612D94">
        <w:t>th</w:t>
      </w:r>
      <w:r w:rsidR="00D2282B">
        <w:t>a</w:t>
      </w:r>
      <w:r w:rsidR="00612D94">
        <w:t xml:space="preserve">n men </w:t>
      </w:r>
      <w:r w:rsidR="00612D94" w:rsidRPr="00612D94">
        <w:t xml:space="preserve">(because of the </w:t>
      </w:r>
      <w:r w:rsidR="000A7AD0" w:rsidRPr="00B13D85">
        <w:rPr>
          <w:i/>
        </w:rPr>
        <w:t>injunctive</w:t>
      </w:r>
      <w:r w:rsidR="00612D94" w:rsidRPr="00612D94">
        <w:t xml:space="preserve"> norm – people who </w:t>
      </w:r>
      <w:r w:rsidR="00612D94" w:rsidRPr="00B13D85">
        <w:rPr>
          <w:i/>
        </w:rPr>
        <w:t>should</w:t>
      </w:r>
      <w:r w:rsidR="00612D94" w:rsidRPr="00612D94">
        <w:t xml:space="preserve"> be communal are disliked when they act in an agentic role</w:t>
      </w:r>
      <w:r w:rsidR="00805719">
        <w:t xml:space="preserve"> and exhibit agentic qualities</w:t>
      </w:r>
      <w:r w:rsidR="00612D94" w:rsidRPr="00612D94">
        <w:t xml:space="preserve">) </w:t>
      </w:r>
      <w:r w:rsidR="00F04B46">
        <w:t>(</w:t>
      </w:r>
      <w:proofErr w:type="spellStart"/>
      <w:r w:rsidR="00F04B46">
        <w:t>Eagly</w:t>
      </w:r>
      <w:proofErr w:type="spellEnd"/>
      <w:r w:rsidR="00F04B46">
        <w:t xml:space="preserve"> &amp; Karau, 2002). </w:t>
      </w:r>
    </w:p>
    <w:p w14:paraId="7610615A" w14:textId="03DC9F87" w:rsidR="008D0980" w:rsidRDefault="00F04B46" w:rsidP="00E70436">
      <w:pPr>
        <w:widowControl w:val="0"/>
      </w:pPr>
      <w:r>
        <w:tab/>
      </w:r>
      <w:r w:rsidR="00805719">
        <w:t xml:space="preserve">Subsequent research </w:t>
      </w:r>
      <w:r>
        <w:t xml:space="preserve">extended the framework to look at the perceived incongruity between the female gender role and other </w:t>
      </w:r>
      <w:r w:rsidR="002A38F5">
        <w:t>non-communal</w:t>
      </w:r>
      <w:r>
        <w:t xml:space="preserve"> roles</w:t>
      </w:r>
      <w:r w:rsidR="000A7AD0">
        <w:t>, such as stereotypically male occupations (Davison &amp; Burke, 2000)</w:t>
      </w:r>
      <w:r>
        <w:t>.</w:t>
      </w:r>
      <w:r w:rsidR="00612D94">
        <w:t xml:space="preserve"> </w:t>
      </w:r>
      <w:r w:rsidR="00D2730A">
        <w:t>T</w:t>
      </w:r>
      <w:r w:rsidR="00612D94">
        <w:t>his perceived incongruity has</w:t>
      </w:r>
      <w:r w:rsidR="00D2730A">
        <w:t xml:space="preserve"> further</w:t>
      </w:r>
      <w:r w:rsidR="00612D94">
        <w:t xml:space="preserve"> been shown to be internalized by women, prompting them to think </w:t>
      </w:r>
      <w:r w:rsidR="003117FB">
        <w:t xml:space="preserve">that they are not </w:t>
      </w:r>
      <w:r w:rsidR="00612D94">
        <w:t xml:space="preserve">suited for stereotypically male </w:t>
      </w:r>
      <w:r w:rsidR="003117FB">
        <w:t xml:space="preserve">careers </w:t>
      </w:r>
      <w:r w:rsidR="000A7AD0">
        <w:t>(</w:t>
      </w:r>
      <w:r w:rsidR="001B4BA0" w:rsidRPr="001B4BA0">
        <w:t xml:space="preserve">Evans &amp; </w:t>
      </w:r>
      <w:proofErr w:type="spellStart"/>
      <w:r w:rsidR="001B4BA0" w:rsidRPr="001B4BA0">
        <w:t>Diekman</w:t>
      </w:r>
      <w:proofErr w:type="spellEnd"/>
      <w:r w:rsidR="001B4BA0" w:rsidRPr="001B4BA0">
        <w:t>, 2009</w:t>
      </w:r>
      <w:r w:rsidR="000A7AD0">
        <w:t>)</w:t>
      </w:r>
      <w:r w:rsidR="00612D94">
        <w:t>.</w:t>
      </w:r>
      <w:r w:rsidR="009418CB">
        <w:t xml:space="preserve"> </w:t>
      </w:r>
      <w:r w:rsidR="00D2730A">
        <w:t>Similarly, s</w:t>
      </w:r>
      <w:r w:rsidR="00B1098A">
        <w:t xml:space="preserve">tudies have consistently shown </w:t>
      </w:r>
      <w:r w:rsidR="00E8647E">
        <w:t>th</w:t>
      </w:r>
      <w:r w:rsidR="00B1098A">
        <w:t xml:space="preserve">is </w:t>
      </w:r>
      <w:r w:rsidR="00E8647E">
        <w:t xml:space="preserve">perceived </w:t>
      </w:r>
      <w:r w:rsidR="005640A4">
        <w:t xml:space="preserve">role </w:t>
      </w:r>
      <w:r w:rsidR="00E8647E">
        <w:t>incongruity</w:t>
      </w:r>
      <w:r w:rsidR="005640A4">
        <w:t xml:space="preserve"> </w:t>
      </w:r>
      <w:r w:rsidR="00B1098A">
        <w:t>in STEM domains</w:t>
      </w:r>
      <w:r w:rsidR="005640A4">
        <w:t>: Both men and women judged women with feminine appearance as being less likely to be a scientist (</w:t>
      </w:r>
      <w:proofErr w:type="spellStart"/>
      <w:r w:rsidR="005640A4" w:rsidRPr="00B13D85">
        <w:t>Banchefsky</w:t>
      </w:r>
      <w:proofErr w:type="spellEnd"/>
      <w:r w:rsidR="005640A4" w:rsidRPr="00B13D85">
        <w:t xml:space="preserve"> et al., 2016</w:t>
      </w:r>
      <w:r w:rsidR="005640A4">
        <w:t xml:space="preserve">), and young female students’ </w:t>
      </w:r>
      <w:r w:rsidR="00B1098A">
        <w:t>conception of a scientist was contradictory to their self-described</w:t>
      </w:r>
      <w:r w:rsidR="005640A4">
        <w:t xml:space="preserve"> </w:t>
      </w:r>
      <w:r w:rsidR="00B1098A">
        <w:t>characteristics (</w:t>
      </w:r>
      <w:r w:rsidR="00B1098A" w:rsidRPr="00B13D85">
        <w:t>Archer et al., 2013</w:t>
      </w:r>
      <w:r w:rsidR="00B1098A">
        <w:t xml:space="preserve">). </w:t>
      </w:r>
      <w:proofErr w:type="gramStart"/>
      <w:r w:rsidR="00DC7CA1">
        <w:t>As a consequence</w:t>
      </w:r>
      <w:proofErr w:type="gramEnd"/>
      <w:r w:rsidR="00DC7CA1">
        <w:t>, female students exhibited less interest in computer science after exposure to a role model embodying the STEM stereotype</w:t>
      </w:r>
      <w:r w:rsidR="002A38F5">
        <w:t xml:space="preserve"> of being </w:t>
      </w:r>
      <w:r w:rsidR="003117FB">
        <w:t>geeky, obsessed with technology, and not nurturing (</w:t>
      </w:r>
      <w:r w:rsidR="003117FB" w:rsidRPr="00B13D85">
        <w:t>Master et al., 2016</w:t>
      </w:r>
      <w:r w:rsidR="003117FB">
        <w:t>).</w:t>
      </w:r>
      <w:r w:rsidR="002D7013">
        <w:t xml:space="preserve"> </w:t>
      </w:r>
      <w:r w:rsidR="00E43714" w:rsidRPr="00E43714">
        <w:t>In terms of the mass media, extant portrayals of female role models</w:t>
      </w:r>
      <w:r w:rsidR="00D2730A">
        <w:t xml:space="preserve"> in STEM fields</w:t>
      </w:r>
      <w:r w:rsidR="00E43714" w:rsidRPr="00E43714">
        <w:t xml:space="preserve"> were either lacking (Kitzinger, Haran, </w:t>
      </w:r>
      <w:proofErr w:type="spellStart"/>
      <w:r w:rsidR="00E43714" w:rsidRPr="00E43714">
        <w:t>Chimba</w:t>
      </w:r>
      <w:proofErr w:type="spellEnd"/>
      <w:r w:rsidR="00E43714" w:rsidRPr="00E43714">
        <w:t>, &amp; Boyce, 2008), or depicted with the same incongruity: Although female scientists and researchers in popular movies were depicted as professional and confident, they were shown to be childless or having difficulty balancing their jobs and family (Steinke, 2005).</w:t>
      </w:r>
      <w:r w:rsidR="008D0980" w:rsidRPr="008D0980">
        <w:t xml:space="preserve">While it </w:t>
      </w:r>
      <w:r w:rsidR="008D0980">
        <w:t xml:space="preserve">remains ambiguous whether this effect was due to the stereotype itself or the </w:t>
      </w:r>
      <w:r w:rsidR="008D0980" w:rsidRPr="008D0980">
        <w:t>infer</w:t>
      </w:r>
      <w:r w:rsidR="008D0980">
        <w:t>ence that a stereotypical scientist</w:t>
      </w:r>
      <w:r w:rsidR="008D0980" w:rsidRPr="008D0980">
        <w:t xml:space="preserve"> likely enjoy</w:t>
      </w:r>
      <w:r w:rsidR="008D0980">
        <w:t>s</w:t>
      </w:r>
      <w:r w:rsidR="008D0980" w:rsidRPr="008D0980">
        <w:t xml:space="preserve"> activities that </w:t>
      </w:r>
      <w:r w:rsidR="008D0980">
        <w:t>women</w:t>
      </w:r>
      <w:r w:rsidR="008D0980" w:rsidRPr="008D0980">
        <w:t xml:space="preserve"> would not enjoy, the empirical evidence points to a negative </w:t>
      </w:r>
      <w:r w:rsidR="008D0980">
        <w:lastRenderedPageBreak/>
        <w:t>impact</w:t>
      </w:r>
      <w:r w:rsidR="008D0980" w:rsidRPr="008D0980">
        <w:t xml:space="preserve"> of exposure to STEM stereotypes on women’s STEM interests. </w:t>
      </w:r>
    </w:p>
    <w:p w14:paraId="0BAF7E4E" w14:textId="261F2E10" w:rsidR="00612D94" w:rsidRDefault="00612D94" w:rsidP="00E70436">
      <w:pPr>
        <w:widowControl w:val="0"/>
      </w:pPr>
      <w:r>
        <w:tab/>
      </w:r>
      <w:r w:rsidR="00D0012A">
        <w:t xml:space="preserve">To address this issue, </w:t>
      </w:r>
      <w:r w:rsidR="002D7013">
        <w:t xml:space="preserve">some </w:t>
      </w:r>
      <w:r w:rsidR="00D0012A">
        <w:t>researchers have examined the use of female role models who embody both a stereotypical role and a counter-stereotypical role</w:t>
      </w:r>
      <w:r w:rsidR="00516FA9">
        <w:t>, specifically the STEM career role</w:t>
      </w:r>
      <w:r w:rsidR="004660F5">
        <w:t xml:space="preserve"> (</w:t>
      </w:r>
      <w:r w:rsidR="00D0012A">
        <w:t xml:space="preserve">Betz </w:t>
      </w:r>
      <w:r w:rsidR="004660F5">
        <w:t xml:space="preserve">&amp; </w:t>
      </w:r>
      <w:proofErr w:type="spellStart"/>
      <w:r w:rsidR="004660F5">
        <w:t>Sekaquaptewa</w:t>
      </w:r>
      <w:proofErr w:type="spellEnd"/>
      <w:r w:rsidR="004660F5">
        <w:t xml:space="preserve">, </w:t>
      </w:r>
      <w:r w:rsidR="00D0012A" w:rsidRPr="00D0012A">
        <w:t>2012</w:t>
      </w:r>
      <w:r w:rsidR="004660F5">
        <w:t xml:space="preserve">; </w:t>
      </w:r>
      <w:bookmarkStart w:id="2" w:name="_Hlk506736920"/>
      <w:r w:rsidR="008E68BF" w:rsidRPr="008E68BF">
        <w:t>Park</w:t>
      </w:r>
      <w:r w:rsidR="006B5504">
        <w:t>s-</w:t>
      </w:r>
      <w:proofErr w:type="spellStart"/>
      <w:r w:rsidR="006B5504">
        <w:t>Stamm</w:t>
      </w:r>
      <w:proofErr w:type="spellEnd"/>
      <w:r w:rsidR="000E6C2E">
        <w:t xml:space="preserve"> et al.</w:t>
      </w:r>
      <w:r w:rsidR="008E68BF" w:rsidRPr="008E68BF">
        <w:t>, 2008</w:t>
      </w:r>
      <w:bookmarkEnd w:id="2"/>
      <w:r w:rsidR="003117FB">
        <w:t xml:space="preserve">; Ziegler &amp; </w:t>
      </w:r>
      <w:proofErr w:type="spellStart"/>
      <w:r w:rsidR="003117FB">
        <w:t>Stoeger</w:t>
      </w:r>
      <w:proofErr w:type="spellEnd"/>
      <w:r w:rsidR="003117FB">
        <w:t>, 2008</w:t>
      </w:r>
      <w:r w:rsidR="004660F5">
        <w:t xml:space="preserve">). </w:t>
      </w:r>
      <w:r w:rsidR="00E31955">
        <w:t xml:space="preserve">From the role congruity perspective, a </w:t>
      </w:r>
      <w:r w:rsidR="003117FB">
        <w:t xml:space="preserve">female role model </w:t>
      </w:r>
      <w:r w:rsidR="00E31955">
        <w:t xml:space="preserve">who is successful in a stereotypically male </w:t>
      </w:r>
      <w:r w:rsidR="00A371BB">
        <w:t xml:space="preserve">career </w:t>
      </w:r>
      <w:r w:rsidR="003117FB">
        <w:t xml:space="preserve">while </w:t>
      </w:r>
      <w:r w:rsidR="00A371BB">
        <w:t xml:space="preserve">simultaneously </w:t>
      </w:r>
      <w:r w:rsidR="002A67EB">
        <w:t xml:space="preserve">displaying communal </w:t>
      </w:r>
      <w:r w:rsidR="002D7013" w:rsidRPr="002D7013">
        <w:rPr>
          <w:i/>
        </w:rPr>
        <w:t>traits</w:t>
      </w:r>
      <w:r w:rsidR="002A67EB">
        <w:t xml:space="preserve"> </w:t>
      </w:r>
      <w:r w:rsidR="002D7013">
        <w:t xml:space="preserve">or embody communal </w:t>
      </w:r>
      <w:r w:rsidR="002D7013" w:rsidRPr="002D7013">
        <w:rPr>
          <w:i/>
        </w:rPr>
        <w:t>roles</w:t>
      </w:r>
      <w:r w:rsidR="002D7013">
        <w:t xml:space="preserve"> </w:t>
      </w:r>
      <w:r w:rsidR="002A67EB">
        <w:t>demonstrate</w:t>
      </w:r>
      <w:r w:rsidR="003117FB">
        <w:t>s</w:t>
      </w:r>
      <w:r w:rsidR="002A67EB">
        <w:t xml:space="preserve"> that </w:t>
      </w:r>
      <w:r w:rsidR="003117FB">
        <w:t>the female gender role and the counter</w:t>
      </w:r>
      <w:r w:rsidR="00516FA9">
        <w:t>-stereotypical role are not incompatible and</w:t>
      </w:r>
      <w:r w:rsidR="002A67EB">
        <w:t xml:space="preserve"> can co-exist. </w:t>
      </w:r>
      <w:r w:rsidR="00A371BB">
        <w:t>P</w:t>
      </w:r>
      <w:r w:rsidR="00FF49A4">
        <w:t xml:space="preserve">erceived similarity </w:t>
      </w:r>
      <w:r w:rsidR="00A371BB">
        <w:t xml:space="preserve">to the role models was also posited to be </w:t>
      </w:r>
      <w:r w:rsidR="00FF49A4">
        <w:t xml:space="preserve">an </w:t>
      </w:r>
      <w:r w:rsidR="00D2730A">
        <w:t>important determinant of</w:t>
      </w:r>
      <w:r w:rsidR="00A371BB">
        <w:t xml:space="preserve"> message</w:t>
      </w:r>
      <w:r w:rsidR="00D2730A">
        <w:t xml:space="preserve"> effectiveness</w:t>
      </w:r>
      <w:r w:rsidR="00A371BB">
        <w:t xml:space="preserve"> (Drury et al., 2011)</w:t>
      </w:r>
      <w:r w:rsidR="00FF49A4">
        <w:t xml:space="preserve">. </w:t>
      </w:r>
      <w:r w:rsidR="00A371BB">
        <w:t>Thus</w:t>
      </w:r>
      <w:r w:rsidR="002A67EB">
        <w:t>, this type of role model</w:t>
      </w:r>
      <w:r w:rsidR="00516FA9">
        <w:t xml:space="preserve">, termed the </w:t>
      </w:r>
      <w:r w:rsidR="00516FA9" w:rsidRPr="00B13D85">
        <w:rPr>
          <w:i/>
        </w:rPr>
        <w:t>feminine role model</w:t>
      </w:r>
      <w:r w:rsidR="00516FA9">
        <w:t>,</w:t>
      </w:r>
      <w:r w:rsidR="002A67EB">
        <w:t xml:space="preserve"> should be </w:t>
      </w:r>
      <w:r w:rsidR="00D2730A">
        <w:t>better at</w:t>
      </w:r>
      <w:r w:rsidR="002A67EB">
        <w:t xml:space="preserve"> fostering women’s interest and participation in </w:t>
      </w:r>
      <w:r w:rsidR="00516FA9">
        <w:t>these</w:t>
      </w:r>
      <w:r w:rsidR="002A67EB">
        <w:t xml:space="preserve"> fields</w:t>
      </w:r>
      <w:r w:rsidR="00516FA9">
        <w:t xml:space="preserve"> by helping them envision themselves in these career roles</w:t>
      </w:r>
      <w:r w:rsidR="002A67EB">
        <w:t xml:space="preserve">. However, this strategy </w:t>
      </w:r>
      <w:r w:rsidR="00D0012A">
        <w:t>has</w:t>
      </w:r>
      <w:r w:rsidR="00516FA9">
        <w:t xml:space="preserve"> not</w:t>
      </w:r>
      <w:r w:rsidR="00D0012A">
        <w:t xml:space="preserve"> </w:t>
      </w:r>
      <w:r w:rsidR="00516FA9">
        <w:t>always produced the desired outcomes</w:t>
      </w:r>
      <w:r w:rsidR="00747B6E">
        <w:t xml:space="preserve"> for women</w:t>
      </w:r>
      <w:r w:rsidR="00D14B72">
        <w:t xml:space="preserve"> (reviewed below). </w:t>
      </w:r>
      <w:r w:rsidR="00747B6E">
        <w:t>A common theme emerged from these studies: Feminine role models tend to be most counter-productive to women who have low interest in or who do not identify with STEM fields (</w:t>
      </w:r>
      <w:r w:rsidR="00747B6E" w:rsidRPr="00747B6E">
        <w:t xml:space="preserve">Betz &amp; </w:t>
      </w:r>
      <w:proofErr w:type="spellStart"/>
      <w:r w:rsidR="00747B6E" w:rsidRPr="00747B6E">
        <w:t>Sekaquaptewa</w:t>
      </w:r>
      <w:proofErr w:type="spellEnd"/>
      <w:r w:rsidR="00747B6E" w:rsidRPr="00747B6E">
        <w:t>, 2012</w:t>
      </w:r>
      <w:r w:rsidR="00747B6E">
        <w:t xml:space="preserve">; </w:t>
      </w:r>
      <w:r w:rsidR="00747B6E" w:rsidRPr="00747B6E">
        <w:t xml:space="preserve">Ziegler &amp; </w:t>
      </w:r>
      <w:proofErr w:type="spellStart"/>
      <w:r w:rsidR="00747B6E" w:rsidRPr="00747B6E">
        <w:t>Stoeger</w:t>
      </w:r>
      <w:proofErr w:type="spellEnd"/>
      <w:r w:rsidR="00747B6E" w:rsidRPr="00747B6E">
        <w:t>, 2008</w:t>
      </w:r>
      <w:r w:rsidR="00747B6E">
        <w:t xml:space="preserve">). </w:t>
      </w:r>
      <w:r w:rsidR="00FF49A4">
        <w:t xml:space="preserve">Clearly, making the STEM role models more congruent to the female gender roles and more </w:t>
      </w:r>
      <w:proofErr w:type="gramStart"/>
      <w:r w:rsidR="00FF49A4">
        <w:t>similar to</w:t>
      </w:r>
      <w:proofErr w:type="gramEnd"/>
      <w:r w:rsidR="00FF49A4">
        <w:t xml:space="preserve"> the female audience was not as effective as previous research suggested. </w:t>
      </w:r>
      <w:r w:rsidR="00747B6E">
        <w:t xml:space="preserve">Social comparison </w:t>
      </w:r>
      <w:r w:rsidR="009426C5">
        <w:t>theory and the upward comparison threat can potentially provide an explanation to account for this pattern of results.</w:t>
      </w:r>
    </w:p>
    <w:p w14:paraId="668D3067" w14:textId="77777777" w:rsidR="00D0012A" w:rsidRDefault="00D0012A" w:rsidP="00E70436">
      <w:pPr>
        <w:pStyle w:val="Heading1"/>
        <w:widowControl w:val="0"/>
        <w:spacing w:beforeAutospacing="0" w:afterAutospacing="0" w:line="480" w:lineRule="auto"/>
      </w:pPr>
      <w:r>
        <w:t xml:space="preserve">Social Comparison Theory &amp; Upward Comparison Threat to Female Role Models </w:t>
      </w:r>
    </w:p>
    <w:p w14:paraId="5186D6DA" w14:textId="77777777" w:rsidR="004C4034" w:rsidRDefault="00BF4016" w:rsidP="00E70436">
      <w:pPr>
        <w:widowControl w:val="0"/>
      </w:pPr>
      <w:r>
        <w:tab/>
        <w:t xml:space="preserve">Social comparison theory (Festinger, 1954) posits that humans </w:t>
      </w:r>
      <w:proofErr w:type="gramStart"/>
      <w:r>
        <w:t>have a tendency to</w:t>
      </w:r>
      <w:proofErr w:type="gramEnd"/>
      <w:r>
        <w:t xml:space="preserve"> compare themselves to others to evaluate their own </w:t>
      </w:r>
      <w:r w:rsidR="00C00E0A">
        <w:t xml:space="preserve">abilities and </w:t>
      </w:r>
      <w:r>
        <w:t xml:space="preserve">performances on a particular domain. </w:t>
      </w:r>
      <w:r w:rsidR="00C00E0A">
        <w:t xml:space="preserve">The more similar the target of comparison is to the individual, and the less objective the standard for the domain is, the stronger the drive for the individual to socially compare that </w:t>
      </w:r>
      <w:r w:rsidR="00C00E0A">
        <w:lastRenderedPageBreak/>
        <w:t xml:space="preserve">target. </w:t>
      </w:r>
      <w:r w:rsidR="0079761F">
        <w:t xml:space="preserve">Future works expanded upon the original framework to include directions of comparison: </w:t>
      </w:r>
      <w:r w:rsidR="00FB0025">
        <w:t xml:space="preserve">downward </w:t>
      </w:r>
      <w:r w:rsidR="0079761F">
        <w:t xml:space="preserve">(target of comparison is perceived to be </w:t>
      </w:r>
      <w:r w:rsidR="00FB0025">
        <w:t xml:space="preserve">worse </w:t>
      </w:r>
      <w:r w:rsidR="0079761F">
        <w:t xml:space="preserve">than the individual on the given domain), and </w:t>
      </w:r>
      <w:r w:rsidR="00FB0025">
        <w:t xml:space="preserve">upward </w:t>
      </w:r>
      <w:r w:rsidR="0079761F">
        <w:t xml:space="preserve">(target of comparison is perceived to be </w:t>
      </w:r>
      <w:r w:rsidR="00FB0025">
        <w:t xml:space="preserve">better </w:t>
      </w:r>
      <w:r w:rsidR="0079761F">
        <w:t>than the individual on the given domain)</w:t>
      </w:r>
      <w:r w:rsidR="007E5C4F">
        <w:t>, as well as the outcomes of comparison</w:t>
      </w:r>
      <w:r w:rsidR="0079761F">
        <w:t xml:space="preserve"> (</w:t>
      </w:r>
      <w:r w:rsidR="007E5C4F">
        <w:t xml:space="preserve">Taylor &amp; </w:t>
      </w:r>
      <w:proofErr w:type="spellStart"/>
      <w:r w:rsidR="007E5C4F">
        <w:t>Lobel</w:t>
      </w:r>
      <w:proofErr w:type="spellEnd"/>
      <w:r w:rsidR="007E5C4F">
        <w:t>, 1989</w:t>
      </w:r>
      <w:r w:rsidR="00481DFE">
        <w:t xml:space="preserve">; </w:t>
      </w:r>
      <w:r w:rsidR="00481DFE" w:rsidRPr="00B13D85">
        <w:t>Wills, 1981</w:t>
      </w:r>
      <w:r w:rsidR="007E5C4F">
        <w:t>)</w:t>
      </w:r>
      <w:r w:rsidR="0079761F">
        <w:t xml:space="preserve">. </w:t>
      </w:r>
    </w:p>
    <w:p w14:paraId="3CED5791" w14:textId="779003E2" w:rsidR="002D23ED" w:rsidRDefault="0079761F" w:rsidP="00E70436">
      <w:pPr>
        <w:widowControl w:val="0"/>
        <w:ind w:firstLine="720"/>
      </w:pPr>
      <w:r>
        <w:t>Downward comparison is commonly thought to enhance the individual’s self-view and lead to positive self-related affect</w:t>
      </w:r>
      <w:r w:rsidR="00481DFE">
        <w:t>,</w:t>
      </w:r>
      <w:r>
        <w:t xml:space="preserve"> </w:t>
      </w:r>
      <w:r w:rsidR="006C074B">
        <w:t xml:space="preserve">whereas </w:t>
      </w:r>
      <w:r>
        <w:t xml:space="preserve">upward comparison can either lead to positive </w:t>
      </w:r>
      <w:r w:rsidR="004C4034">
        <w:t>or negative</w:t>
      </w:r>
      <w:r w:rsidR="00A65D01">
        <w:t xml:space="preserve"> </w:t>
      </w:r>
      <w:r>
        <w:t>outcomes</w:t>
      </w:r>
      <w:r w:rsidR="00481DFE">
        <w:t xml:space="preserve"> </w:t>
      </w:r>
      <w:r w:rsidR="00481DFE" w:rsidRPr="00481DFE">
        <w:t xml:space="preserve">(Taylor &amp; </w:t>
      </w:r>
      <w:proofErr w:type="spellStart"/>
      <w:r w:rsidR="00481DFE" w:rsidRPr="00481DFE">
        <w:t>Lobel</w:t>
      </w:r>
      <w:proofErr w:type="spellEnd"/>
      <w:r w:rsidR="00481DFE" w:rsidRPr="00481DFE">
        <w:t>, 1989; Wills, 1981)</w:t>
      </w:r>
      <w:r>
        <w:t xml:space="preserve">. Lockwood and </w:t>
      </w:r>
      <w:proofErr w:type="spellStart"/>
      <w:r>
        <w:t>Kunda</w:t>
      </w:r>
      <w:proofErr w:type="spellEnd"/>
      <w:r>
        <w:t xml:space="preserve"> (1997) showed that </w:t>
      </w:r>
      <w:r w:rsidR="00A65D01">
        <w:t xml:space="preserve">if the </w:t>
      </w:r>
      <w:r w:rsidR="00D2730A">
        <w:t xml:space="preserve">upward comparison </w:t>
      </w:r>
      <w:r w:rsidR="00A65D01">
        <w:t>target</w:t>
      </w:r>
      <w:r w:rsidR="00D2730A">
        <w:t xml:space="preserve">’s </w:t>
      </w:r>
      <w:r w:rsidR="00A65D01">
        <w:t xml:space="preserve">achievement is perceived as attainable to the individual, he or she will feel </w:t>
      </w:r>
      <w:r w:rsidR="00A65D01" w:rsidRPr="00436638">
        <w:rPr>
          <w:i/>
        </w:rPr>
        <w:t>in</w:t>
      </w:r>
      <w:r w:rsidR="004C4034" w:rsidRPr="00436638">
        <w:rPr>
          <w:i/>
        </w:rPr>
        <w:t>spired</w:t>
      </w:r>
      <w:r w:rsidR="004C4034">
        <w:t xml:space="preserve">, leading to </w:t>
      </w:r>
      <w:r w:rsidR="00A65D01">
        <w:t xml:space="preserve">positive outcome; but if the </w:t>
      </w:r>
      <w:r w:rsidR="00A65D01" w:rsidRPr="00A65D01">
        <w:t>target</w:t>
      </w:r>
      <w:r w:rsidR="00D2730A">
        <w:t xml:space="preserve">’s </w:t>
      </w:r>
      <w:r w:rsidR="00A65D01" w:rsidRPr="00A65D01">
        <w:t xml:space="preserve">achievement is perceived as </w:t>
      </w:r>
      <w:r w:rsidR="00A65D01">
        <w:t>un</w:t>
      </w:r>
      <w:r w:rsidR="00A65D01" w:rsidRPr="00A65D01">
        <w:t xml:space="preserve">attainable, he or she will feel </w:t>
      </w:r>
      <w:r w:rsidR="00A65D01" w:rsidRPr="00436638">
        <w:rPr>
          <w:i/>
        </w:rPr>
        <w:t>deflated</w:t>
      </w:r>
      <w:r w:rsidR="00A65D01" w:rsidRPr="00A65D01">
        <w:t xml:space="preserve">, leading to </w:t>
      </w:r>
      <w:r w:rsidR="00A65D01">
        <w:t>negative</w:t>
      </w:r>
      <w:r w:rsidR="00A65D01" w:rsidRPr="00A65D01">
        <w:t xml:space="preserve"> outcome</w:t>
      </w:r>
      <w:r w:rsidR="00A65D01">
        <w:t xml:space="preserve">. </w:t>
      </w:r>
      <w:r w:rsidR="00A65D01" w:rsidRPr="000061F2">
        <w:rPr>
          <w:i/>
        </w:rPr>
        <w:t>Self-inspiration</w:t>
      </w:r>
      <w:r w:rsidR="00A65D01">
        <w:t xml:space="preserve"> is characterized by </w:t>
      </w:r>
      <w:proofErr w:type="gramStart"/>
      <w:r w:rsidR="00A65D01">
        <w:t>individuals’</w:t>
      </w:r>
      <w:proofErr w:type="gramEnd"/>
      <w:r w:rsidR="00A65D01">
        <w:t xml:space="preserve"> </w:t>
      </w:r>
      <w:r w:rsidR="004C4034">
        <w:t xml:space="preserve">bolstered self-view, positive evaluation of the target, as well </w:t>
      </w:r>
      <w:r w:rsidR="00A65D01">
        <w:t>in</w:t>
      </w:r>
      <w:r w:rsidR="004C4034">
        <w:t>creased interest and motivation</w:t>
      </w:r>
      <w:r w:rsidR="00A65D01">
        <w:t xml:space="preserve"> in the given d</w:t>
      </w:r>
      <w:r w:rsidR="004C4034">
        <w:t>omain</w:t>
      </w:r>
      <w:r w:rsidR="00A65D01">
        <w:t xml:space="preserve">; </w:t>
      </w:r>
      <w:r w:rsidR="006C074B">
        <w:t xml:space="preserve">whereas </w:t>
      </w:r>
      <w:r w:rsidR="004C4034" w:rsidRPr="000061F2">
        <w:rPr>
          <w:i/>
        </w:rPr>
        <w:t>self-deflation</w:t>
      </w:r>
      <w:r w:rsidR="004C4034">
        <w:t xml:space="preserve"> is characterized by individuals’ deflated self-view, negative evaluation of the target, as well as decreased interest and motivation in the given domain</w:t>
      </w:r>
      <w:r w:rsidR="00987EA8">
        <w:t xml:space="preserve"> (Lockwood &amp; </w:t>
      </w:r>
      <w:proofErr w:type="spellStart"/>
      <w:r w:rsidR="00987EA8">
        <w:t>Kunda</w:t>
      </w:r>
      <w:proofErr w:type="spellEnd"/>
      <w:r w:rsidR="00987EA8">
        <w:t xml:space="preserve">, 1997; </w:t>
      </w:r>
      <w:r w:rsidR="00987EA8" w:rsidRPr="006C69E9">
        <w:t>Hoyt, 201</w:t>
      </w:r>
      <w:r w:rsidR="00BC42C5">
        <w:t>3</w:t>
      </w:r>
      <w:r w:rsidR="00987EA8">
        <w:t>)</w:t>
      </w:r>
      <w:r w:rsidR="004C4034">
        <w:t xml:space="preserve">. </w:t>
      </w:r>
      <w:r w:rsidR="000061F2">
        <w:t xml:space="preserve">This latter outcome is usually termed </w:t>
      </w:r>
      <w:r w:rsidR="000061F2" w:rsidRPr="000061F2">
        <w:rPr>
          <w:i/>
        </w:rPr>
        <w:t>upward comparison threat</w:t>
      </w:r>
      <w:r w:rsidR="00987EA8">
        <w:rPr>
          <w:i/>
        </w:rPr>
        <w:t xml:space="preserve"> </w:t>
      </w:r>
      <w:r w:rsidR="00987EA8">
        <w:t>(</w:t>
      </w:r>
      <w:r w:rsidR="00987EA8" w:rsidRPr="006C69E9">
        <w:t>Rudman &amp; Phelan, 2010</w:t>
      </w:r>
      <w:r w:rsidR="00987EA8">
        <w:t>)</w:t>
      </w:r>
      <w:r w:rsidR="000061F2">
        <w:t>. In short</w:t>
      </w:r>
      <w:r w:rsidR="00A65D01">
        <w:t xml:space="preserve">, perceived attainability is </w:t>
      </w:r>
      <w:r w:rsidR="00626331">
        <w:t xml:space="preserve">one of </w:t>
      </w:r>
      <w:r w:rsidR="00A65D01">
        <w:t>the key moderator</w:t>
      </w:r>
      <w:r w:rsidR="00626331">
        <w:t>s</w:t>
      </w:r>
      <w:r w:rsidR="00A65D01">
        <w:t xml:space="preserve"> of the impact of upward comparison </w:t>
      </w:r>
      <w:r w:rsidR="000061F2">
        <w:t>on people’s self-perceptions</w:t>
      </w:r>
      <w:r w:rsidR="00987EA8">
        <w:t xml:space="preserve"> (Lockwood &amp; </w:t>
      </w:r>
      <w:proofErr w:type="spellStart"/>
      <w:r w:rsidR="00987EA8">
        <w:t>Kunda</w:t>
      </w:r>
      <w:proofErr w:type="spellEnd"/>
      <w:r w:rsidR="00987EA8">
        <w:t>, 1997</w:t>
      </w:r>
      <w:r w:rsidR="00626331">
        <w:t xml:space="preserve">; </w:t>
      </w:r>
      <w:proofErr w:type="spellStart"/>
      <w:r w:rsidR="00626331" w:rsidRPr="006C69E9">
        <w:t>Mussweiler</w:t>
      </w:r>
      <w:proofErr w:type="spellEnd"/>
      <w:r w:rsidR="00626331" w:rsidRPr="006C69E9">
        <w:t>, 2001</w:t>
      </w:r>
      <w:r w:rsidR="00987EA8">
        <w:t>)</w:t>
      </w:r>
      <w:r w:rsidR="00A65D01">
        <w:t>.</w:t>
      </w:r>
    </w:p>
    <w:p w14:paraId="78451E81" w14:textId="1CAFDA67" w:rsidR="004B6359" w:rsidRDefault="00A65D01" w:rsidP="00E70436">
      <w:pPr>
        <w:widowControl w:val="0"/>
      </w:pPr>
      <w:r>
        <w:tab/>
        <w:t xml:space="preserve">Subsequent studies have applied the social comparison </w:t>
      </w:r>
      <w:r w:rsidR="00D2730A">
        <w:t xml:space="preserve">theory </w:t>
      </w:r>
      <w:r>
        <w:t>to look at women’s responses to female role models</w:t>
      </w:r>
      <w:r w:rsidR="00F34CDE">
        <w:t xml:space="preserve"> in </w:t>
      </w:r>
      <w:r w:rsidR="00D2730A">
        <w:t>counter-</w:t>
      </w:r>
      <w:r w:rsidR="00F34CDE">
        <w:t>stereotypical domains.</w:t>
      </w:r>
      <w:r>
        <w:t xml:space="preserve"> </w:t>
      </w:r>
      <w:r w:rsidR="004E61D2">
        <w:t>W</w:t>
      </w:r>
      <w:r w:rsidR="00E13B7E">
        <w:t xml:space="preserve">omen high in </w:t>
      </w:r>
      <w:r w:rsidR="004E61D2">
        <w:t>self-perceived agency</w:t>
      </w:r>
      <w:r w:rsidR="00CB2152">
        <w:t>, which leads to higher perceived attainability,</w:t>
      </w:r>
      <w:r w:rsidR="00E13B7E">
        <w:t xml:space="preserve"> viewed successful women in a masculine occupation more positively than women low in </w:t>
      </w:r>
      <w:r w:rsidR="004E61D2">
        <w:t>self-perceived agency (Lawson &amp; Lips, 2014)</w:t>
      </w:r>
      <w:r w:rsidR="004411ED">
        <w:t xml:space="preserve">. </w:t>
      </w:r>
      <w:r w:rsidR="00A80809" w:rsidRPr="00E70436">
        <w:t>Luong &amp; Knobloch-</w:t>
      </w:r>
      <w:proofErr w:type="spellStart"/>
      <w:r w:rsidR="00A80809" w:rsidRPr="00E70436">
        <w:t>Westerick</w:t>
      </w:r>
      <w:proofErr w:type="spellEnd"/>
      <w:r w:rsidR="00A80809" w:rsidRPr="00E70436">
        <w:t xml:space="preserve"> (2017)</w:t>
      </w:r>
      <w:r w:rsidR="00D07010">
        <w:t xml:space="preserve"> </w:t>
      </w:r>
      <w:r w:rsidR="006B35DE">
        <w:t>found</w:t>
      </w:r>
      <w:r w:rsidR="00D07010">
        <w:t xml:space="preserve"> that after viewing magazine articles featuring successful women in counter-stereotypical fields, female participants who felt </w:t>
      </w:r>
      <w:proofErr w:type="gramStart"/>
      <w:r w:rsidR="00D07010">
        <w:t>similar to</w:t>
      </w:r>
      <w:proofErr w:type="gramEnd"/>
      <w:r w:rsidR="00D07010">
        <w:t xml:space="preserve"> the role </w:t>
      </w:r>
      <w:r w:rsidR="00D07010">
        <w:lastRenderedPageBreak/>
        <w:t>models performed better at a math test</w:t>
      </w:r>
      <w:r w:rsidR="004E61D2">
        <w:t>,</w:t>
      </w:r>
      <w:r w:rsidR="00D07010">
        <w:t xml:space="preserve"> wh</w:t>
      </w:r>
      <w:r w:rsidR="004E61D2">
        <w:t>ereas</w:t>
      </w:r>
      <w:r w:rsidR="00D07010">
        <w:t xml:space="preserve"> those who felt different </w:t>
      </w:r>
      <w:r w:rsidR="006B35DE">
        <w:t>from</w:t>
      </w:r>
      <w:r w:rsidR="00D07010">
        <w:t xml:space="preserve"> the role models performed worse</w:t>
      </w:r>
      <w:r w:rsidR="006B35DE">
        <w:t xml:space="preserve"> at the same test</w:t>
      </w:r>
      <w:r w:rsidR="00D07010">
        <w:t>.</w:t>
      </w:r>
      <w:r w:rsidR="004E58EA">
        <w:t xml:space="preserve"> </w:t>
      </w:r>
      <w:r w:rsidR="0085097E">
        <w:t xml:space="preserve">In </w:t>
      </w:r>
      <w:r w:rsidR="004B6359" w:rsidRPr="004B6359">
        <w:t>Parks-</w:t>
      </w:r>
      <w:proofErr w:type="spellStart"/>
      <w:r w:rsidR="004B6359" w:rsidRPr="004B6359">
        <w:t>Stamm</w:t>
      </w:r>
      <w:proofErr w:type="spellEnd"/>
      <w:r w:rsidR="004B6359" w:rsidRPr="004B6359">
        <w:t xml:space="preserve"> et al. (2008)</w:t>
      </w:r>
      <w:r w:rsidR="00CB2152">
        <w:t>’s study 1</w:t>
      </w:r>
      <w:r w:rsidR="00FC44E7">
        <w:t xml:space="preserve">, </w:t>
      </w:r>
      <w:r w:rsidR="004B6359">
        <w:t>women’s self-evaluation and perception of the role models after exposure to feminine</w:t>
      </w:r>
      <w:r w:rsidR="004411ED">
        <w:t xml:space="preserve"> </w:t>
      </w:r>
      <w:r w:rsidR="004B6359">
        <w:t xml:space="preserve">vs. </w:t>
      </w:r>
      <w:r w:rsidR="00376FF4">
        <w:t>neutral</w:t>
      </w:r>
      <w:r w:rsidR="004B6359">
        <w:t xml:space="preserve"> role models</w:t>
      </w:r>
      <w:r w:rsidR="004411ED">
        <w:t xml:space="preserve"> </w:t>
      </w:r>
      <w:r w:rsidR="004B6359">
        <w:t xml:space="preserve">in </w:t>
      </w:r>
      <w:r w:rsidR="004E58EA">
        <w:t>a stereotypically male job</w:t>
      </w:r>
      <w:r w:rsidR="00FC44E7">
        <w:t xml:space="preserve"> were examined</w:t>
      </w:r>
      <w:r w:rsidR="004B6359">
        <w:t xml:space="preserve">. </w:t>
      </w:r>
      <w:r w:rsidR="004411ED">
        <w:t>T</w:t>
      </w:r>
      <w:r w:rsidR="004B6359" w:rsidRPr="004B6359">
        <w:t xml:space="preserve">he </w:t>
      </w:r>
      <w:r w:rsidR="004679B2">
        <w:t>neutral</w:t>
      </w:r>
      <w:r w:rsidR="004B6359">
        <w:t xml:space="preserve"> </w:t>
      </w:r>
      <w:r w:rsidR="004B6359" w:rsidRPr="004B6359">
        <w:t xml:space="preserve">role model allowed </w:t>
      </w:r>
      <w:r w:rsidR="004411ED">
        <w:t xml:space="preserve">female participants to engage in self-bolstering cognition and perceive the role </w:t>
      </w:r>
      <w:r w:rsidR="004B6359" w:rsidRPr="004B6359">
        <w:t xml:space="preserve">negatively in the communal domain (i.e. being cold and unlikable). </w:t>
      </w:r>
      <w:r w:rsidR="00376FF4">
        <w:t xml:space="preserve">This negative evaluation occurred despite </w:t>
      </w:r>
      <w:r w:rsidR="00FC44E7">
        <w:t xml:space="preserve">the </w:t>
      </w:r>
      <w:r w:rsidR="00D2730A">
        <w:t xml:space="preserve">neutral </w:t>
      </w:r>
      <w:r w:rsidR="00FC44E7">
        <w:t xml:space="preserve">role model being depicted with positive </w:t>
      </w:r>
      <w:r w:rsidR="00D2730A">
        <w:t xml:space="preserve">albeit </w:t>
      </w:r>
      <w:r w:rsidR="00D2730A" w:rsidRPr="00D2730A">
        <w:t xml:space="preserve">gender-neutral </w:t>
      </w:r>
      <w:r w:rsidR="00FC44E7">
        <w:t xml:space="preserve">characteristics. </w:t>
      </w:r>
      <w:r w:rsidR="004B6359" w:rsidRPr="004B6359">
        <w:t xml:space="preserve">However, </w:t>
      </w:r>
      <w:r w:rsidR="004E58EA">
        <w:t>the</w:t>
      </w:r>
      <w:r w:rsidR="004411ED">
        <w:t xml:space="preserve"> </w:t>
      </w:r>
      <w:r w:rsidR="00D2730A">
        <w:t xml:space="preserve">feminine role model presented an </w:t>
      </w:r>
      <w:r w:rsidR="004411ED">
        <w:t>increased</w:t>
      </w:r>
      <w:r w:rsidR="004E58EA">
        <w:t xml:space="preserve"> upward comparison threat</w:t>
      </w:r>
      <w:r w:rsidR="00D2730A">
        <w:t>, which</w:t>
      </w:r>
      <w:r w:rsidR="004E58EA">
        <w:t xml:space="preserve"> led to</w:t>
      </w:r>
      <w:r w:rsidR="004B6359" w:rsidRPr="004B6359">
        <w:t xml:space="preserve"> a more negative self-view and lowered perceived self-competence. </w:t>
      </w:r>
    </w:p>
    <w:p w14:paraId="0EB029FC" w14:textId="4BDDDB81" w:rsidR="0085097E" w:rsidRDefault="004E58EA">
      <w:pPr>
        <w:widowControl w:val="0"/>
      </w:pPr>
      <w:r>
        <w:tab/>
      </w:r>
      <w:r w:rsidR="004A79BA">
        <w:t>The same phenomenon was observed for female role models designed specifically to increase women’s STEM interests</w:t>
      </w:r>
      <w:r w:rsidRPr="004E58EA">
        <w:t>.</w:t>
      </w:r>
      <w:r>
        <w:t xml:space="preserve"> </w:t>
      </w:r>
      <w:r w:rsidR="004B6359" w:rsidRPr="004B6359">
        <w:t xml:space="preserve">Ziegler and </w:t>
      </w:r>
      <w:proofErr w:type="spellStart"/>
      <w:r w:rsidR="004B6359" w:rsidRPr="004B6359">
        <w:t>Stoeger</w:t>
      </w:r>
      <w:proofErr w:type="spellEnd"/>
      <w:r w:rsidR="004B6359" w:rsidRPr="004B6359">
        <w:t xml:space="preserve"> (2008) found that for girls with high prior interest in STEM fields, watching a movie with a feminine role model led to higher self-confidence and academic interest compared to a movie featuring a woman who is either feminine or good at science; but this effect is reversed for girls with low prior interest. Similarly, Betz and </w:t>
      </w:r>
      <w:proofErr w:type="spellStart"/>
      <w:r w:rsidR="004B6359" w:rsidRPr="004B6359">
        <w:t>Sekaquaptewa</w:t>
      </w:r>
      <w:proofErr w:type="spellEnd"/>
      <w:r w:rsidR="004B6359" w:rsidRPr="004B6359">
        <w:t xml:space="preserve"> (2012) found that exposure to </w:t>
      </w:r>
      <w:r w:rsidR="003920A8">
        <w:t xml:space="preserve">a </w:t>
      </w:r>
      <w:r w:rsidR="004B6359" w:rsidRPr="004B6359">
        <w:t xml:space="preserve">feminine </w:t>
      </w:r>
      <w:r w:rsidR="003920A8">
        <w:t xml:space="preserve">scientist </w:t>
      </w:r>
      <w:r w:rsidR="004B6359" w:rsidRPr="004B6359">
        <w:t xml:space="preserve">reduced middle school girls’ current math interest, self-rated ability, and success expectations in STEM fields compared to </w:t>
      </w:r>
      <w:r w:rsidR="004A79BA">
        <w:t>a neutral role model</w:t>
      </w:r>
      <w:r w:rsidR="004B6359" w:rsidRPr="004B6359">
        <w:t xml:space="preserve">, and this effect was driven by STEM-disidentified students perceiving the </w:t>
      </w:r>
      <w:r w:rsidR="003920A8">
        <w:t xml:space="preserve">role model </w:t>
      </w:r>
      <w:r w:rsidR="004B6359" w:rsidRPr="004B6359">
        <w:t xml:space="preserve">as unattainable. </w:t>
      </w:r>
      <w:r w:rsidR="004B6359">
        <w:t>In studies that included male participants (Parks-</w:t>
      </w:r>
      <w:proofErr w:type="spellStart"/>
      <w:r w:rsidR="004B6359">
        <w:t>Stamm</w:t>
      </w:r>
      <w:proofErr w:type="spellEnd"/>
      <w:r w:rsidR="004B6359">
        <w:t xml:space="preserve"> et al., </w:t>
      </w:r>
      <w:r w:rsidR="004B6359" w:rsidRPr="004B6359">
        <w:t>2008</w:t>
      </w:r>
      <w:r w:rsidR="004B6359">
        <w:t xml:space="preserve">; </w:t>
      </w:r>
      <w:r w:rsidR="004B6359" w:rsidRPr="004B6359">
        <w:t xml:space="preserve">Ziegler </w:t>
      </w:r>
      <w:r w:rsidR="004B6359">
        <w:t>&amp;</w:t>
      </w:r>
      <w:r w:rsidR="004B6359" w:rsidRPr="004B6359">
        <w:t xml:space="preserve"> </w:t>
      </w:r>
      <w:proofErr w:type="spellStart"/>
      <w:r w:rsidR="004B6359" w:rsidRPr="004B6359">
        <w:t>Stoeger</w:t>
      </w:r>
      <w:proofErr w:type="spellEnd"/>
      <w:r w:rsidR="004B6359">
        <w:t>, 2008</w:t>
      </w:r>
      <w:r w:rsidR="004B6359" w:rsidRPr="004B6359">
        <w:t>)</w:t>
      </w:r>
      <w:r w:rsidR="004B6359">
        <w:t>, t</w:t>
      </w:r>
      <w:r w:rsidR="004B6359" w:rsidRPr="004B6359">
        <w:t xml:space="preserve">his pattern </w:t>
      </w:r>
      <w:r w:rsidR="004B6359">
        <w:t>of result did not occur for them</w:t>
      </w:r>
      <w:r w:rsidR="004B6359" w:rsidRPr="004B6359">
        <w:t xml:space="preserve">. Clearly, </w:t>
      </w:r>
      <w:r w:rsidR="00A24AA7">
        <w:t xml:space="preserve">although feminine role models may help to </w:t>
      </w:r>
      <w:r w:rsidR="004B6359" w:rsidRPr="004B6359">
        <w:t xml:space="preserve">lower the perceived congruity between the female gender role and a </w:t>
      </w:r>
      <w:r w:rsidR="00A24AA7">
        <w:t>STEM career</w:t>
      </w:r>
      <w:r w:rsidR="004B6359" w:rsidRPr="004B6359">
        <w:t xml:space="preserve"> role</w:t>
      </w:r>
      <w:r w:rsidR="00A24AA7">
        <w:t>, they are more likely to be perceived as unattainable, especially by women with low prior interest or self-perceived ability in STEM. Thus, exposure to this type of role models may induce a</w:t>
      </w:r>
      <w:r w:rsidR="004B6359" w:rsidRPr="004B6359">
        <w:t xml:space="preserve"> greater upward comparison threat to women, prompting them to hold </w:t>
      </w:r>
      <w:r w:rsidR="004B6359" w:rsidRPr="004B6359">
        <w:lastRenderedPageBreak/>
        <w:t>more negative self-view as well as less interest in the stereotypically male domain.</w:t>
      </w:r>
    </w:p>
    <w:p w14:paraId="17476A69" w14:textId="77777777" w:rsidR="004660F5" w:rsidRDefault="004660F5" w:rsidP="00E70436">
      <w:pPr>
        <w:pStyle w:val="Heading1"/>
        <w:widowControl w:val="0"/>
        <w:spacing w:beforeAutospacing="0" w:afterAutospacing="0" w:line="480" w:lineRule="auto"/>
      </w:pPr>
      <w:r>
        <w:t>Perceived Attainability &amp; Fem</w:t>
      </w:r>
      <w:r w:rsidR="00A24AA7">
        <w:t>inine</w:t>
      </w:r>
      <w:r>
        <w:t xml:space="preserve"> Role Models</w:t>
      </w:r>
    </w:p>
    <w:p w14:paraId="29CA0B06" w14:textId="76BA029F" w:rsidR="004660F5" w:rsidRDefault="00E24D01" w:rsidP="00E70436">
      <w:pPr>
        <w:widowControl w:val="0"/>
      </w:pPr>
      <w:r>
        <w:rPr>
          <w:b/>
        </w:rPr>
        <w:tab/>
      </w:r>
      <w:r w:rsidR="00CB2152">
        <w:t>If low perceived attainability of the role models prompts more negative self-view and reduced interest, increasing</w:t>
      </w:r>
      <w:r>
        <w:t xml:space="preserve"> </w:t>
      </w:r>
      <w:r w:rsidR="00CB2152">
        <w:t xml:space="preserve">role models’ </w:t>
      </w:r>
      <w:r>
        <w:t xml:space="preserve">perceived attainability </w:t>
      </w:r>
      <w:r w:rsidR="009D15EC">
        <w:t xml:space="preserve">should </w:t>
      </w:r>
      <w:r w:rsidR="00CB2152">
        <w:t xml:space="preserve">be an effective strategy to help </w:t>
      </w:r>
      <w:r>
        <w:t xml:space="preserve">buffer women against </w:t>
      </w:r>
      <w:r w:rsidR="00CB2152">
        <w:t xml:space="preserve">the </w:t>
      </w:r>
      <w:r>
        <w:t xml:space="preserve">upward comparison threat, protecting their self-view and increasing their interest </w:t>
      </w:r>
      <w:r w:rsidR="00120DCB">
        <w:t>in the stereotypically male</w:t>
      </w:r>
      <w:r>
        <w:t xml:space="preserve"> domain</w:t>
      </w:r>
      <w:r w:rsidR="00CB2152">
        <w:t>s</w:t>
      </w:r>
      <w:r>
        <w:t xml:space="preserve">. </w:t>
      </w:r>
      <w:r w:rsidR="009D15EC">
        <w:t>Several studies attest to this notion:</w:t>
      </w:r>
      <w:r>
        <w:t xml:space="preserve"> Lawson and Lips (2014) found that women with higher agentic qualities perceived the masculine job </w:t>
      </w:r>
      <w:r w:rsidR="00A45F14">
        <w:t xml:space="preserve">(in which </w:t>
      </w:r>
      <w:r w:rsidR="009D15EC">
        <w:t xml:space="preserve">a </w:t>
      </w:r>
      <w:r w:rsidR="00A45F14">
        <w:t xml:space="preserve">female role model was portrayed) </w:t>
      </w:r>
      <w:r>
        <w:t>to be more attainable, and job attainability mediated the relationship between agentic qualities and positive evaluation of the role model. Park</w:t>
      </w:r>
      <w:r w:rsidR="006B5504">
        <w:t>s-</w:t>
      </w:r>
      <w:proofErr w:type="spellStart"/>
      <w:r w:rsidR="006B5504">
        <w:t>Stamm</w:t>
      </w:r>
      <w:proofErr w:type="spellEnd"/>
      <w:r>
        <w:t xml:space="preserve"> et al. (2008)’s study 2 showed that</w:t>
      </w:r>
      <w:r w:rsidR="009D15EC">
        <w:t>,</w:t>
      </w:r>
      <w:r>
        <w:t xml:space="preserve"> </w:t>
      </w:r>
      <w:r w:rsidR="00120DCB">
        <w:t>when women were given an attainability induction in the form of positive feedbac</w:t>
      </w:r>
      <w:r w:rsidR="00CB2152">
        <w:t>k</w:t>
      </w:r>
      <w:r w:rsidR="00120DCB">
        <w:t xml:space="preserve">, they held more positive perceptions of both the role model and </w:t>
      </w:r>
      <w:proofErr w:type="gramStart"/>
      <w:r w:rsidR="00120DCB">
        <w:t>themselves</w:t>
      </w:r>
      <w:proofErr w:type="gramEnd"/>
      <w:r w:rsidR="00120DCB">
        <w:t xml:space="preserve">. Thus, increasing perceived attainability can steer upward social comparison effect towards self-inspiration instead of self-deflation, safeguarding the positive impact of exposure to role models on </w:t>
      </w:r>
      <w:r w:rsidR="00A371BB">
        <w:t xml:space="preserve">women’s </w:t>
      </w:r>
      <w:r w:rsidR="00120DCB">
        <w:t xml:space="preserve">self-concepts </w:t>
      </w:r>
      <w:r w:rsidR="00A371BB">
        <w:t>and STEM career interest.</w:t>
      </w:r>
    </w:p>
    <w:p w14:paraId="24A4DEA7" w14:textId="0A4C72E8" w:rsidR="006E3434" w:rsidRDefault="00120DCB" w:rsidP="00E70436">
      <w:pPr>
        <w:widowControl w:val="0"/>
      </w:pPr>
      <w:r>
        <w:tab/>
        <w:t>However, perceived attainability in these studies was either measured instead of manipulated (Lawson &amp; Lips, 2004), or the manipulation was only feasible in a lab experiment and not in rea</w:t>
      </w:r>
      <w:r w:rsidR="00E27116">
        <w:t>l-life environment (Park</w:t>
      </w:r>
      <w:r w:rsidR="006B5504">
        <w:t>s-</w:t>
      </w:r>
      <w:proofErr w:type="spellStart"/>
      <w:r w:rsidR="006B5504">
        <w:t>Stamm</w:t>
      </w:r>
      <w:proofErr w:type="spellEnd"/>
      <w:r w:rsidR="00E27116">
        <w:t xml:space="preserve"> et al., 2008). Additionally, in both studies, perceived attainability was shown to be effective against upward comparison threat to female role models portrayed solely in a counter-stereotypical domain</w:t>
      </w:r>
      <w:r w:rsidR="00CB2152">
        <w:t>, or unfeminine role models</w:t>
      </w:r>
      <w:r w:rsidR="00E27116">
        <w:t xml:space="preserve">. </w:t>
      </w:r>
      <w:r w:rsidR="003779CE">
        <w:t>L</w:t>
      </w:r>
      <w:r w:rsidR="00CB2152">
        <w:t xml:space="preserve">astly, female participants in both studies were expressing interest in and evaluating hypothetical jobs instead of making real career decisions. </w:t>
      </w:r>
      <w:r w:rsidR="00E27116">
        <w:t xml:space="preserve">The current study aims to address </w:t>
      </w:r>
      <w:r w:rsidR="00CB2152">
        <w:t xml:space="preserve">all three </w:t>
      </w:r>
      <w:r w:rsidR="00E27116">
        <w:t xml:space="preserve">issues: </w:t>
      </w:r>
      <w:r w:rsidR="00B61E75">
        <w:t>First, w</w:t>
      </w:r>
      <w:r w:rsidR="00A45F14">
        <w:t>e created</w:t>
      </w:r>
      <w:r w:rsidR="00E27116">
        <w:t xml:space="preserve"> </w:t>
      </w:r>
      <w:r w:rsidR="00A371BB">
        <w:t xml:space="preserve">an attainability </w:t>
      </w:r>
      <w:r w:rsidR="00E27116">
        <w:t>induction in the form of a message, which can be e</w:t>
      </w:r>
      <w:r w:rsidR="00A45F14">
        <w:t>asily disseminated as part of a campaign or an</w:t>
      </w:r>
      <w:r w:rsidR="00E27116">
        <w:t xml:space="preserve"> intervention</w:t>
      </w:r>
      <w:r w:rsidR="00B61E75">
        <w:t xml:space="preserve">. Second, we </w:t>
      </w:r>
      <w:r w:rsidR="00E27116">
        <w:t xml:space="preserve">tested the effect of </w:t>
      </w:r>
      <w:r w:rsidR="00B61E75">
        <w:t xml:space="preserve">this </w:t>
      </w:r>
      <w:r w:rsidR="00E27116">
        <w:lastRenderedPageBreak/>
        <w:t>attainability</w:t>
      </w:r>
      <w:r w:rsidR="00B61E75">
        <w:t xml:space="preserve"> message</w:t>
      </w:r>
      <w:r w:rsidR="00E27116">
        <w:t xml:space="preserve"> against </w:t>
      </w:r>
      <w:r w:rsidR="00B61E75">
        <w:t xml:space="preserve">the </w:t>
      </w:r>
      <w:r w:rsidR="00E27116">
        <w:t xml:space="preserve">upward comparison threat </w:t>
      </w:r>
      <w:r w:rsidR="00B61E75">
        <w:t xml:space="preserve">induced by </w:t>
      </w:r>
      <w:r w:rsidR="00E27116" w:rsidRPr="00E27116">
        <w:t>female role models portrayed solely in a counter-stereotypical domain</w:t>
      </w:r>
      <w:r w:rsidR="00E27116">
        <w:t xml:space="preserve"> and in </w:t>
      </w:r>
      <w:r w:rsidR="003779CE">
        <w:t xml:space="preserve">both </w:t>
      </w:r>
      <w:r w:rsidR="00E27116">
        <w:t>a stereotypical</w:t>
      </w:r>
      <w:r w:rsidR="00B13D85">
        <w:t xml:space="preserve"> </w:t>
      </w:r>
      <w:r w:rsidR="00E27116">
        <w:t>and</w:t>
      </w:r>
      <w:r w:rsidR="00B13D85">
        <w:t xml:space="preserve"> a c</w:t>
      </w:r>
      <w:r w:rsidR="00E27116">
        <w:t xml:space="preserve">ounter-stereotypical </w:t>
      </w:r>
      <w:r w:rsidR="00A371BB">
        <w:t>domain</w:t>
      </w:r>
      <w:r w:rsidR="003174DD">
        <w:t xml:space="preserve">. </w:t>
      </w:r>
      <w:r w:rsidR="006E3434">
        <w:t xml:space="preserve">And third, we conducted the study with a sample of female professional students who are making their own career decisions. As the attrition of women between higher education and entry-level </w:t>
      </w:r>
      <w:r w:rsidR="00AE3DFE">
        <w:t xml:space="preserve">research </w:t>
      </w:r>
      <w:r w:rsidR="006E3434">
        <w:t xml:space="preserve">career in STEM fields is significant (UNESCO Institute </w:t>
      </w:r>
      <w:r w:rsidR="00833F39">
        <w:t xml:space="preserve">for </w:t>
      </w:r>
      <w:r w:rsidR="006E3434">
        <w:t>Statistics, 201</w:t>
      </w:r>
      <w:r w:rsidR="001F414C">
        <w:t>8</w:t>
      </w:r>
      <w:r w:rsidR="006E3434">
        <w:t>), this population deserves more research interest and attention.</w:t>
      </w:r>
    </w:p>
    <w:p w14:paraId="63FE6071" w14:textId="22584E01" w:rsidR="006E39CC" w:rsidRDefault="006E39CC" w:rsidP="00E70436">
      <w:pPr>
        <w:widowControl w:val="0"/>
      </w:pPr>
      <w:r>
        <w:tab/>
        <w:t xml:space="preserve">Additionally, </w:t>
      </w:r>
      <w:r w:rsidRPr="006E39CC">
        <w:t xml:space="preserve">the </w:t>
      </w:r>
      <w:r>
        <w:t>role</w:t>
      </w:r>
      <w:r w:rsidRPr="006E39CC">
        <w:t xml:space="preserve"> incongruity between the female gender role and the </w:t>
      </w:r>
      <w:r w:rsidR="00AE3DFE">
        <w:t>research</w:t>
      </w:r>
      <w:r w:rsidRPr="006E39CC">
        <w:t xml:space="preserve"> career role </w:t>
      </w:r>
      <w:r>
        <w:t xml:space="preserve">perceived by this </w:t>
      </w:r>
      <w:proofErr w:type="gramStart"/>
      <w:r w:rsidR="003779CE">
        <w:t xml:space="preserve">particular </w:t>
      </w:r>
      <w:r>
        <w:t>population</w:t>
      </w:r>
      <w:proofErr w:type="gramEnd"/>
      <w:r>
        <w:t xml:space="preserve"> may </w:t>
      </w:r>
      <w:r w:rsidR="009B2D5C">
        <w:t>be different</w:t>
      </w:r>
      <w:r w:rsidR="003A69DA">
        <w:rPr>
          <w:rStyle w:val="EndnoteReference"/>
        </w:rPr>
        <w:endnoteReference w:id="1"/>
      </w:r>
      <w:r w:rsidR="00A50B9A">
        <w:t>. The discrepancy may</w:t>
      </w:r>
      <w:r w:rsidR="009B2D5C">
        <w:t xml:space="preserve"> </w:t>
      </w:r>
      <w:r>
        <w:t xml:space="preserve">not lie not between </w:t>
      </w:r>
      <w:r w:rsidR="00A50B9A">
        <w:t xml:space="preserve">the stereotypically male career role and feminine appearance or </w:t>
      </w:r>
      <w:r w:rsidR="00A50B9A" w:rsidRPr="0007784C">
        <w:rPr>
          <w:i/>
        </w:rPr>
        <w:t>communal qualities</w:t>
      </w:r>
      <w:r w:rsidR="00A50B9A">
        <w:t xml:space="preserve"> (i.e. being warm, caring, cooperative, etc.) as </w:t>
      </w:r>
      <w:r w:rsidR="0007784C">
        <w:t xml:space="preserve">the </w:t>
      </w:r>
      <w:r w:rsidR="0007784C" w:rsidRPr="00197506">
        <w:rPr>
          <w:i/>
        </w:rPr>
        <w:t>trait</w:t>
      </w:r>
      <w:r w:rsidR="0007784C">
        <w:t xml:space="preserve"> component</w:t>
      </w:r>
      <w:r w:rsidR="00A50B9A">
        <w:t xml:space="preserve"> of the female gender role. </w:t>
      </w:r>
      <w:r w:rsidR="00AE3DFE">
        <w:t xml:space="preserve">It </w:t>
      </w:r>
      <w:r w:rsidR="00A50B9A">
        <w:t xml:space="preserve">may instead lie between </w:t>
      </w:r>
      <w:r w:rsidR="00A50B9A" w:rsidRPr="00A50B9A">
        <w:t>the stereotypically male career role</w:t>
      </w:r>
      <w:r w:rsidR="00A50B9A">
        <w:t xml:space="preserve"> and the family role (i.e. bei</w:t>
      </w:r>
      <w:r w:rsidR="0007784C">
        <w:t xml:space="preserve">ng a wife and mother) – a </w:t>
      </w:r>
      <w:r w:rsidR="0007784C" w:rsidRPr="0007784C">
        <w:rPr>
          <w:i/>
        </w:rPr>
        <w:t>communal role</w:t>
      </w:r>
      <w:r w:rsidR="00197506">
        <w:t xml:space="preserve"> </w:t>
      </w:r>
      <w:r w:rsidR="003779CE">
        <w:t xml:space="preserve">as </w:t>
      </w:r>
      <w:r w:rsidR="00197506">
        <w:t xml:space="preserve">the </w:t>
      </w:r>
      <w:r w:rsidR="00197506" w:rsidRPr="00197506">
        <w:rPr>
          <w:i/>
        </w:rPr>
        <w:t>role</w:t>
      </w:r>
      <w:r w:rsidR="00197506">
        <w:t xml:space="preserve"> </w:t>
      </w:r>
      <w:r w:rsidR="00A50B9A">
        <w:t>component of the female gender role</w:t>
      </w:r>
      <w:r w:rsidRPr="006E39CC">
        <w:t xml:space="preserve">. </w:t>
      </w:r>
      <w:r w:rsidR="00A50B9A">
        <w:t>Because these female STEM students have already cho</w:t>
      </w:r>
      <w:r w:rsidRPr="006E39CC">
        <w:t>se</w:t>
      </w:r>
      <w:r w:rsidR="00A50B9A">
        <w:t>n</w:t>
      </w:r>
      <w:r w:rsidRPr="006E39CC">
        <w:t xml:space="preserve"> a STEM major</w:t>
      </w:r>
      <w:r w:rsidR="00A50B9A">
        <w:t xml:space="preserve"> and are about to make their career decisions, they may be less concerned about how stereotypically feminine a researcher i</w:t>
      </w:r>
      <w:r w:rsidR="00AE3DFE">
        <w:t>s</w:t>
      </w:r>
      <w:r w:rsidR="00A50B9A">
        <w:t xml:space="preserve"> and more concerned </w:t>
      </w:r>
      <w:r w:rsidRPr="006E39CC">
        <w:t xml:space="preserve">how little time a </w:t>
      </w:r>
      <w:r w:rsidR="00A50B9A">
        <w:t>researcher</w:t>
      </w:r>
      <w:r w:rsidRPr="006E39CC">
        <w:t xml:space="preserve"> may have for </w:t>
      </w:r>
      <w:r w:rsidR="00A50B9A">
        <w:t>her</w:t>
      </w:r>
      <w:r w:rsidRPr="006E39CC">
        <w:t xml:space="preserve"> family</w:t>
      </w:r>
      <w:r w:rsidR="00F953DF">
        <w:t xml:space="preserve">. </w:t>
      </w:r>
      <w:proofErr w:type="gramStart"/>
      <w:r w:rsidR="003779CE">
        <w:t>Due to the fact that</w:t>
      </w:r>
      <w:proofErr w:type="gramEnd"/>
      <w:r w:rsidR="003779CE">
        <w:t xml:space="preserve"> r</w:t>
      </w:r>
      <w:r w:rsidR="00A6284A">
        <w:t xml:space="preserve">esearch- and science-oriented careers are usually perceived as being conflicting with having a family </w:t>
      </w:r>
      <w:r w:rsidR="008950C0">
        <w:t>or raising</w:t>
      </w:r>
      <w:r w:rsidR="00A6284A">
        <w:t xml:space="preserve"> children (</w:t>
      </w:r>
      <w:r w:rsidR="00A6284A" w:rsidRPr="00B13D85">
        <w:t>Settles, 2004</w:t>
      </w:r>
      <w:r w:rsidR="00A6284A">
        <w:t>)</w:t>
      </w:r>
      <w:r w:rsidR="003779CE">
        <w:t>,</w:t>
      </w:r>
      <w:r w:rsidR="00A6284A">
        <w:t xml:space="preserve"> </w:t>
      </w:r>
      <w:r w:rsidR="003779CE">
        <w:t>s</w:t>
      </w:r>
      <w:r w:rsidR="00DF6A1A">
        <w:t>ignificantly more women than men cited family responsibilities as the reason for them not working or working part-time in STEM careers (</w:t>
      </w:r>
      <w:r w:rsidR="00BC42C5">
        <w:t>NSF</w:t>
      </w:r>
      <w:r w:rsidR="00DF6A1A">
        <w:t xml:space="preserve">, 2015). </w:t>
      </w:r>
      <w:r w:rsidR="00F953DF">
        <w:t xml:space="preserve">As such, </w:t>
      </w:r>
      <w:r w:rsidR="003A69DA">
        <w:t xml:space="preserve">a feminine role model </w:t>
      </w:r>
      <w:r w:rsidR="003A69DA" w:rsidRPr="003A69DA">
        <w:t>for this population</w:t>
      </w:r>
      <w:r w:rsidR="003A69DA">
        <w:t xml:space="preserve"> was operationalized as someone</w:t>
      </w:r>
      <w:r w:rsidR="00F953DF">
        <w:t xml:space="preserve"> who successfully balance having a research career and having </w:t>
      </w:r>
      <w:r w:rsidR="003A69DA">
        <w:t xml:space="preserve">a family, termed a </w:t>
      </w:r>
      <w:r w:rsidR="003A69DA" w:rsidRPr="003A69DA">
        <w:rPr>
          <w:i/>
        </w:rPr>
        <w:t>family role model</w:t>
      </w:r>
      <w:r w:rsidR="00F953DF">
        <w:t xml:space="preserve">. </w:t>
      </w:r>
      <w:r w:rsidR="00813BB6">
        <w:t>Portrayals of role models</w:t>
      </w:r>
      <w:r w:rsidR="001A1921">
        <w:t xml:space="preserve"> </w:t>
      </w:r>
      <w:r w:rsidR="008950C0">
        <w:t>in the career role only</w:t>
      </w:r>
      <w:r w:rsidR="001A1921">
        <w:t xml:space="preserve"> would be</w:t>
      </w:r>
      <w:r w:rsidR="003A69DA">
        <w:t xml:space="preserve"> termed a </w:t>
      </w:r>
      <w:r w:rsidR="003A69DA" w:rsidRPr="003A69DA">
        <w:rPr>
          <w:i/>
        </w:rPr>
        <w:t>non-family role model</w:t>
      </w:r>
      <w:r w:rsidR="008950C0">
        <w:t>.</w:t>
      </w:r>
    </w:p>
    <w:p w14:paraId="30C6BC99" w14:textId="77777777" w:rsidR="00120DCB" w:rsidRDefault="008950C0" w:rsidP="00E70436">
      <w:pPr>
        <w:widowControl w:val="0"/>
        <w:ind w:firstLine="720"/>
      </w:pPr>
      <w:r>
        <w:t>Taken together</w:t>
      </w:r>
      <w:r w:rsidR="006E3434">
        <w:t>,</w:t>
      </w:r>
      <w:r w:rsidR="00A76450">
        <w:t xml:space="preserve"> </w:t>
      </w:r>
      <w:r w:rsidR="006E3434">
        <w:t>the</w:t>
      </w:r>
      <w:r w:rsidR="00A76450">
        <w:t xml:space="preserve"> high</w:t>
      </w:r>
      <w:r w:rsidR="006E3434">
        <w:t xml:space="preserve"> attainability message </w:t>
      </w:r>
      <w:r w:rsidR="00A76450">
        <w:t xml:space="preserve">is expected </w:t>
      </w:r>
      <w:r w:rsidR="006E3434">
        <w:t>to help reduce the upward comparison threat</w:t>
      </w:r>
      <w:r>
        <w:t xml:space="preserve"> overall,</w:t>
      </w:r>
      <w:r w:rsidR="006E3434">
        <w:t xml:space="preserve"> lead</w:t>
      </w:r>
      <w:r>
        <w:t>ing</w:t>
      </w:r>
      <w:r w:rsidR="006E3434">
        <w:t xml:space="preserve"> to self-inspiration instead of self-deflation</w:t>
      </w:r>
      <w:r w:rsidR="003A1103">
        <w:t>.</w:t>
      </w:r>
      <w:r w:rsidR="00125D5D">
        <w:t xml:space="preserve"> </w:t>
      </w:r>
      <w:r w:rsidR="00A76450">
        <w:t xml:space="preserve">Whether this effect </w:t>
      </w:r>
      <w:r w:rsidR="00A76450">
        <w:lastRenderedPageBreak/>
        <w:t xml:space="preserve">differs </w:t>
      </w:r>
      <w:r>
        <w:t>depending on exposure to</w:t>
      </w:r>
      <w:r w:rsidR="00A76450">
        <w:t xml:space="preserve"> </w:t>
      </w:r>
      <w:r w:rsidR="00D012C1">
        <w:t>family</w:t>
      </w:r>
      <w:r w:rsidR="00A76450">
        <w:t xml:space="preserve"> </w:t>
      </w:r>
      <w:r w:rsidR="00AE3DFE">
        <w:t xml:space="preserve">or </w:t>
      </w:r>
      <w:r w:rsidR="00D012C1">
        <w:t>non-family</w:t>
      </w:r>
      <w:r w:rsidR="00AE3DFE">
        <w:t xml:space="preserve"> </w:t>
      </w:r>
      <w:r w:rsidR="00A76450">
        <w:t xml:space="preserve">role models, however, is uncertain. </w:t>
      </w:r>
      <w:r w:rsidR="00125D5D">
        <w:t xml:space="preserve">Thus, </w:t>
      </w:r>
      <w:r w:rsidR="00AA69E2">
        <w:t>the first hypothesis</w:t>
      </w:r>
      <w:r w:rsidR="00A76450">
        <w:t xml:space="preserve"> and research question</w:t>
      </w:r>
      <w:r w:rsidR="00AA69E2">
        <w:t xml:space="preserve"> </w:t>
      </w:r>
      <w:r w:rsidR="00A76450">
        <w:t>are</w:t>
      </w:r>
      <w:r w:rsidR="00AA69E2">
        <w:t xml:space="preserve"> proposed</w:t>
      </w:r>
      <w:r w:rsidR="00125D5D">
        <w:t>:</w:t>
      </w:r>
    </w:p>
    <w:p w14:paraId="533E027D" w14:textId="77777777" w:rsidR="00125D5D" w:rsidRDefault="00125D5D" w:rsidP="00E70436">
      <w:pPr>
        <w:widowControl w:val="0"/>
      </w:pPr>
      <w:r>
        <w:tab/>
      </w:r>
      <w:r w:rsidRPr="00125D5D">
        <w:rPr>
          <w:i/>
        </w:rPr>
        <w:t>H1</w:t>
      </w:r>
      <w:r>
        <w:t xml:space="preserve">: </w:t>
      </w:r>
      <w:r w:rsidR="00631BFD">
        <w:t xml:space="preserve">Exposure to </w:t>
      </w:r>
      <w:r w:rsidR="00C33607">
        <w:t xml:space="preserve">a </w:t>
      </w:r>
      <w:r>
        <w:t xml:space="preserve">high attainability message </w:t>
      </w:r>
      <w:r w:rsidR="00631BFD">
        <w:t>significantly increase</w:t>
      </w:r>
      <w:r w:rsidR="00E14C44">
        <w:t>s</w:t>
      </w:r>
      <w:r w:rsidR="00631BFD">
        <w:t xml:space="preserve"> women’s self-inspiration </w:t>
      </w:r>
      <w:r w:rsidR="008B6384">
        <w:t>in response</w:t>
      </w:r>
      <w:r w:rsidR="00631BFD">
        <w:t xml:space="preserve"> to</w:t>
      </w:r>
      <w:r>
        <w:t xml:space="preserve"> female role models</w:t>
      </w:r>
      <w:r w:rsidR="00E14C44">
        <w:t>,</w:t>
      </w:r>
      <w:r>
        <w:t xml:space="preserve"> </w:t>
      </w:r>
      <w:r w:rsidR="00631BFD">
        <w:t xml:space="preserve">compared to exposure to </w:t>
      </w:r>
      <w:r w:rsidR="00C33607">
        <w:t xml:space="preserve">a </w:t>
      </w:r>
      <w:r>
        <w:t xml:space="preserve">low attainability </w:t>
      </w:r>
      <w:r w:rsidR="00E14C44">
        <w:t xml:space="preserve">career </w:t>
      </w:r>
      <w:r>
        <w:t>message.</w:t>
      </w:r>
    </w:p>
    <w:p w14:paraId="0CF24523" w14:textId="77777777" w:rsidR="00A76450" w:rsidRDefault="00A76450" w:rsidP="00E70436">
      <w:pPr>
        <w:widowControl w:val="0"/>
      </w:pPr>
      <w:r>
        <w:tab/>
      </w:r>
      <w:r w:rsidRPr="00B13D85">
        <w:rPr>
          <w:i/>
        </w:rPr>
        <w:t>RQ1</w:t>
      </w:r>
      <w:r>
        <w:t xml:space="preserve">: </w:t>
      </w:r>
      <w:r w:rsidR="00802CD0" w:rsidRPr="00802CD0">
        <w:t>Does the effect of the high attainability message differ depending on portrayals of the role models (</w:t>
      </w:r>
      <w:r w:rsidR="003A69DA">
        <w:t>family</w:t>
      </w:r>
      <w:r w:rsidR="00802CD0" w:rsidRPr="00802CD0">
        <w:t xml:space="preserve"> vs. </w:t>
      </w:r>
      <w:r w:rsidR="003A69DA">
        <w:t>non-family</w:t>
      </w:r>
      <w:r w:rsidR="00802CD0" w:rsidRPr="00802CD0">
        <w:t>)?</w:t>
      </w:r>
    </w:p>
    <w:p w14:paraId="45530D61" w14:textId="77777777" w:rsidR="00125D5D" w:rsidRDefault="00125D5D" w:rsidP="00E70436">
      <w:pPr>
        <w:pStyle w:val="Heading1"/>
        <w:widowControl w:val="0"/>
        <w:spacing w:beforeAutospacing="0" w:afterAutospacing="0" w:line="480" w:lineRule="auto"/>
      </w:pPr>
      <w:r>
        <w:t>Family Role Salience as the Moderator for Role Models</w:t>
      </w:r>
      <w:r w:rsidR="00D012C1">
        <w:t>’ Role Congruity</w:t>
      </w:r>
    </w:p>
    <w:p w14:paraId="1E352EE3" w14:textId="55933ABC" w:rsidR="00125D5D" w:rsidRDefault="00125D5D" w:rsidP="00E70436">
      <w:pPr>
        <w:widowControl w:val="0"/>
      </w:pPr>
      <w:r>
        <w:tab/>
      </w:r>
      <w:r w:rsidR="001F4F5A">
        <w:t xml:space="preserve">Because </w:t>
      </w:r>
      <w:r w:rsidR="00AE3DFE">
        <w:t xml:space="preserve">the operationalization of feminine role models here focuses on the perceived incongruity between the family role and the research career role, how important the family role is to the audience can be </w:t>
      </w:r>
      <w:r w:rsidR="0002222E">
        <w:t>an influential factor in how they perceive and socially compare to the role models.</w:t>
      </w:r>
      <w:r w:rsidR="00960BC3">
        <w:t xml:space="preserve"> </w:t>
      </w:r>
      <w:r w:rsidR="0002222E">
        <w:t>Thus, r</w:t>
      </w:r>
      <w:r w:rsidR="00960BC3">
        <w:t xml:space="preserve">ole salience, </w:t>
      </w:r>
      <w:r w:rsidR="0002222E">
        <w:t xml:space="preserve">which </w:t>
      </w:r>
      <w:r w:rsidR="0002222E" w:rsidRPr="0002222E">
        <w:t xml:space="preserve">refers to the personal importance an </w:t>
      </w:r>
      <w:proofErr w:type="gramStart"/>
      <w:r w:rsidR="0002222E" w:rsidRPr="0002222E">
        <w:t>individual attaches</w:t>
      </w:r>
      <w:proofErr w:type="gramEnd"/>
      <w:r w:rsidR="0002222E" w:rsidRPr="0002222E">
        <w:t xml:space="preserve"> to a role, as well as the level of commitment and effort the individual intends to devote to said role (</w:t>
      </w:r>
      <w:proofErr w:type="spellStart"/>
      <w:r w:rsidR="0002222E" w:rsidRPr="0002222E">
        <w:t>Amatea</w:t>
      </w:r>
      <w:proofErr w:type="spellEnd"/>
      <w:r w:rsidR="0002222E" w:rsidRPr="0002222E">
        <w:t>, Cross, Clark, &amp; Bobby, 1986</w:t>
      </w:r>
      <w:r w:rsidR="003779CE">
        <w:t xml:space="preserve">; </w:t>
      </w:r>
      <w:proofErr w:type="spellStart"/>
      <w:r w:rsidR="003779CE">
        <w:t>Luchetta</w:t>
      </w:r>
      <w:proofErr w:type="spellEnd"/>
      <w:r w:rsidR="003779CE">
        <w:t>, 1995</w:t>
      </w:r>
      <w:r w:rsidR="0002222E" w:rsidRPr="0002222E">
        <w:t>)</w:t>
      </w:r>
      <w:r w:rsidR="00960BC3">
        <w:t xml:space="preserve">, can be an important moderator </w:t>
      </w:r>
      <w:r w:rsidR="0002222E">
        <w:t>of the effect of role models</w:t>
      </w:r>
      <w:r w:rsidR="00B97DE3">
        <w:t>’ role congruity</w:t>
      </w:r>
      <w:r w:rsidR="0002222E">
        <w:t xml:space="preserve"> on women’s self-inspiration and career interest.</w:t>
      </w:r>
    </w:p>
    <w:p w14:paraId="79547C79" w14:textId="77777777" w:rsidR="00AA69E2" w:rsidRDefault="00AA69E2" w:rsidP="00E70436">
      <w:pPr>
        <w:widowControl w:val="0"/>
      </w:pPr>
      <w:r>
        <w:tab/>
      </w:r>
      <w:r w:rsidR="0002222E">
        <w:t xml:space="preserve">In particular, </w:t>
      </w:r>
      <w:r w:rsidR="00631BFD">
        <w:t>for women who consider the family role to be personally important</w:t>
      </w:r>
      <w:r w:rsidR="002D231F">
        <w:t xml:space="preserve"> (high family role salience)</w:t>
      </w:r>
      <w:r w:rsidR="00631BFD">
        <w:t xml:space="preserve">, </w:t>
      </w:r>
      <w:r w:rsidR="00B97DE3">
        <w:t>family</w:t>
      </w:r>
      <w:r w:rsidR="00631BFD">
        <w:t xml:space="preserve"> role models (</w:t>
      </w:r>
      <w:r w:rsidR="0002222E">
        <w:t xml:space="preserve">portrayed in both </w:t>
      </w:r>
      <w:r w:rsidR="00631BFD">
        <w:t xml:space="preserve">the career role and the family role) </w:t>
      </w:r>
      <w:r w:rsidR="002D231F">
        <w:t xml:space="preserve">should </w:t>
      </w:r>
      <w:r w:rsidR="00631BFD">
        <w:t>be perceived as more inspiring, wh</w:t>
      </w:r>
      <w:r w:rsidR="002D231F">
        <w:t>ereas</w:t>
      </w:r>
      <w:r w:rsidR="00631BFD">
        <w:t xml:space="preserve"> for women who consider the family role to be personally unimportant</w:t>
      </w:r>
      <w:r w:rsidR="002D231F">
        <w:t xml:space="preserve"> (low family role salience)</w:t>
      </w:r>
      <w:r w:rsidR="00631BFD">
        <w:t xml:space="preserve">, </w:t>
      </w:r>
      <w:r w:rsidR="00B97DE3">
        <w:t>non-family</w:t>
      </w:r>
      <w:r w:rsidR="0002222E">
        <w:t xml:space="preserve"> </w:t>
      </w:r>
      <w:r w:rsidR="00631BFD">
        <w:t xml:space="preserve">role models </w:t>
      </w:r>
      <w:r w:rsidR="0002222E">
        <w:t xml:space="preserve">(portrayed in the career role only) </w:t>
      </w:r>
      <w:r w:rsidR="002D231F">
        <w:t>should</w:t>
      </w:r>
      <w:r w:rsidR="00631BFD">
        <w:t xml:space="preserve"> be perceived as more inspiring, provided that perceived attainability was successfully induced. Thus, the following hypothesis</w:t>
      </w:r>
      <w:r w:rsidR="00EE1464">
        <w:t xml:space="preserve"> is proposed</w:t>
      </w:r>
      <w:r w:rsidR="00631BFD">
        <w:t>:</w:t>
      </w:r>
    </w:p>
    <w:p w14:paraId="39382F22" w14:textId="77777777" w:rsidR="00631BFD" w:rsidRDefault="00631BFD" w:rsidP="00E70436">
      <w:pPr>
        <w:widowControl w:val="0"/>
      </w:pPr>
      <w:r>
        <w:tab/>
      </w:r>
      <w:r w:rsidRPr="00631BFD">
        <w:rPr>
          <w:i/>
        </w:rPr>
        <w:t>H2</w:t>
      </w:r>
      <w:r>
        <w:t xml:space="preserve">: Exposure to </w:t>
      </w:r>
      <w:r w:rsidR="00E14C44">
        <w:t>a</w:t>
      </w:r>
      <w:r w:rsidR="002D231F">
        <w:t xml:space="preserve"> high </w:t>
      </w:r>
      <w:r>
        <w:t>attainability message interact</w:t>
      </w:r>
      <w:r w:rsidR="00E14C44">
        <w:t>s</w:t>
      </w:r>
      <w:r>
        <w:t xml:space="preserve"> with exposure to </w:t>
      </w:r>
      <w:r w:rsidR="002D231F">
        <w:t>female</w:t>
      </w:r>
      <w:r w:rsidR="00E14C44">
        <w:t xml:space="preserve"> </w:t>
      </w:r>
      <w:r>
        <w:t>role models and women’s family life role salience</w:t>
      </w:r>
      <w:r w:rsidR="002D231F">
        <w:t xml:space="preserve"> to produce </w:t>
      </w:r>
      <w:r>
        <w:t xml:space="preserve">differential effect on </w:t>
      </w:r>
      <w:r w:rsidR="00E0565D">
        <w:t>women’s</w:t>
      </w:r>
      <w:r>
        <w:t xml:space="preserve"> self-</w:t>
      </w:r>
      <w:r>
        <w:lastRenderedPageBreak/>
        <w:t xml:space="preserve">inspiration </w:t>
      </w:r>
      <w:r w:rsidR="008B6384">
        <w:t>in response</w:t>
      </w:r>
      <w:r>
        <w:t xml:space="preserve"> to the role models</w:t>
      </w:r>
      <w:r w:rsidR="009D15EC">
        <w:t>:</w:t>
      </w:r>
      <w:r>
        <w:t xml:space="preserve"> </w:t>
      </w:r>
      <w:r w:rsidR="00E14C44">
        <w:t xml:space="preserve">(a) </w:t>
      </w:r>
      <w:r>
        <w:t xml:space="preserve">For women with high </w:t>
      </w:r>
      <w:r w:rsidR="002F3079">
        <w:t>family</w:t>
      </w:r>
      <w:r>
        <w:t xml:space="preserve"> life role salience, exposure to </w:t>
      </w:r>
      <w:r w:rsidR="003A69DA">
        <w:t>family</w:t>
      </w:r>
      <w:r w:rsidR="002D231F">
        <w:t xml:space="preserve"> </w:t>
      </w:r>
      <w:r>
        <w:t>role models lead</w:t>
      </w:r>
      <w:r w:rsidR="00E14C44">
        <w:t>s</w:t>
      </w:r>
      <w:r>
        <w:t xml:space="preserve"> to higher self-inspiration than exposure </w:t>
      </w:r>
      <w:r w:rsidR="003A69DA">
        <w:t>non-family</w:t>
      </w:r>
      <w:r w:rsidR="002D231F">
        <w:t xml:space="preserve"> </w:t>
      </w:r>
      <w:r>
        <w:t>role models</w:t>
      </w:r>
      <w:r w:rsidR="002D231F">
        <w:t>;</w:t>
      </w:r>
      <w:r>
        <w:t xml:space="preserve"> </w:t>
      </w:r>
      <w:r w:rsidR="00E14C44">
        <w:t xml:space="preserve">(b) </w:t>
      </w:r>
      <w:r w:rsidR="002D231F">
        <w:t>f</w:t>
      </w:r>
      <w:r>
        <w:t xml:space="preserve">or women with low </w:t>
      </w:r>
      <w:r w:rsidR="006B35DE">
        <w:t>family</w:t>
      </w:r>
      <w:r>
        <w:t xml:space="preserve"> life role salience, exposure to</w:t>
      </w:r>
      <w:r w:rsidR="002D231F">
        <w:t xml:space="preserve"> </w:t>
      </w:r>
      <w:r w:rsidR="003A69DA">
        <w:t>non-family</w:t>
      </w:r>
      <w:r>
        <w:t xml:space="preserve"> role models lead</w:t>
      </w:r>
      <w:r w:rsidR="00E14C44">
        <w:t>s</w:t>
      </w:r>
      <w:r>
        <w:t xml:space="preserve"> to higher self-inspiration than exposure</w:t>
      </w:r>
      <w:r w:rsidR="002D231F">
        <w:t xml:space="preserve"> </w:t>
      </w:r>
      <w:r w:rsidR="003A69DA">
        <w:t>family</w:t>
      </w:r>
      <w:r>
        <w:t xml:space="preserve"> role models. </w:t>
      </w:r>
    </w:p>
    <w:p w14:paraId="3B750AE3" w14:textId="77777777" w:rsidR="00F42C87" w:rsidRDefault="00F42C87" w:rsidP="00E70436">
      <w:pPr>
        <w:widowControl w:val="0"/>
      </w:pPr>
      <w:r>
        <w:tab/>
        <w:t>Finally, consistent with the upward social comparison literature, higher</w:t>
      </w:r>
      <w:r w:rsidR="000C56E5">
        <w:t xml:space="preserve"> self-inspiration</w:t>
      </w:r>
      <w:r w:rsidR="008B6384">
        <w:t xml:space="preserve"> in response</w:t>
      </w:r>
      <w:r w:rsidR="000C56E5">
        <w:t xml:space="preserve"> to</w:t>
      </w:r>
      <w:r w:rsidR="00936EDC">
        <w:t xml:space="preserve"> the female role models </w:t>
      </w:r>
      <w:r w:rsidR="00EE1464">
        <w:t xml:space="preserve">should </w:t>
      </w:r>
      <w:r>
        <w:t>increase</w:t>
      </w:r>
      <w:r w:rsidR="000C56E5">
        <w:t xml:space="preserve"> interest in the </w:t>
      </w:r>
      <w:r w:rsidR="002D231F">
        <w:t>research</w:t>
      </w:r>
      <w:r w:rsidR="000C56E5">
        <w:t xml:space="preserve"> career, and self-inspiration </w:t>
      </w:r>
      <w:r w:rsidR="00EE1464">
        <w:t xml:space="preserve">should </w:t>
      </w:r>
      <w:r w:rsidR="000C56E5">
        <w:t>mediate the relationship between exposure and career interest (see Figure 1).</w:t>
      </w:r>
    </w:p>
    <w:p w14:paraId="142F70A6" w14:textId="77777777" w:rsidR="000C56E5" w:rsidRDefault="000C56E5" w:rsidP="00E70436">
      <w:pPr>
        <w:widowControl w:val="0"/>
        <w:ind w:firstLine="720"/>
      </w:pPr>
      <w:r>
        <w:rPr>
          <w:i/>
        </w:rPr>
        <w:t>H3</w:t>
      </w:r>
      <w:r>
        <w:t xml:space="preserve">: Self-inspiration </w:t>
      </w:r>
      <w:r w:rsidR="008B6384">
        <w:t>in response</w:t>
      </w:r>
      <w:r>
        <w:t xml:space="preserve"> to the role models </w:t>
      </w:r>
      <w:r w:rsidR="00EE1464">
        <w:t xml:space="preserve">fosters </w:t>
      </w:r>
      <w:r>
        <w:t xml:space="preserve">women’s interest in the </w:t>
      </w:r>
      <w:r w:rsidR="002D231F">
        <w:t>research</w:t>
      </w:r>
      <w:r>
        <w:t xml:space="preserve"> career. </w:t>
      </w:r>
    </w:p>
    <w:p w14:paraId="7B013D09" w14:textId="77777777" w:rsidR="000C56E5" w:rsidRDefault="000C56E5" w:rsidP="00E70436">
      <w:pPr>
        <w:widowControl w:val="0"/>
        <w:ind w:firstLine="720"/>
      </w:pPr>
      <w:r w:rsidRPr="000C56E5">
        <w:rPr>
          <w:i/>
        </w:rPr>
        <w:t>H4</w:t>
      </w:r>
      <w:r>
        <w:t>: The interaction effect betwe</w:t>
      </w:r>
      <w:r w:rsidR="00E0565D">
        <w:t>en perceived attainability</w:t>
      </w:r>
      <w:r>
        <w:t>, role models</w:t>
      </w:r>
      <w:r w:rsidR="00E0565D">
        <w:t>’ level of role congruity</w:t>
      </w:r>
      <w:r>
        <w:t xml:space="preserve">, and women’s family role salience on women’ interest in the </w:t>
      </w:r>
      <w:r w:rsidR="002D231F">
        <w:t>research</w:t>
      </w:r>
      <w:r>
        <w:t xml:space="preserve"> career </w:t>
      </w:r>
      <w:r w:rsidR="00EE1464">
        <w:t>(suggested in H2) is</w:t>
      </w:r>
      <w:r>
        <w:t xml:space="preserve"> mediated </w:t>
      </w:r>
      <w:r w:rsidR="00EE1464">
        <w:t xml:space="preserve">by </w:t>
      </w:r>
      <w:r>
        <w:t xml:space="preserve">their self-inspiration </w:t>
      </w:r>
      <w:r w:rsidR="008B6384">
        <w:t xml:space="preserve">in response </w:t>
      </w:r>
      <w:r>
        <w:t>to the role models.</w:t>
      </w:r>
    </w:p>
    <w:p w14:paraId="798F6CF7" w14:textId="77777777" w:rsidR="00936EDC" w:rsidRDefault="00936EDC" w:rsidP="00E70436">
      <w:pPr>
        <w:pStyle w:val="Heading1"/>
        <w:widowControl w:val="0"/>
        <w:spacing w:beforeAutospacing="0" w:afterAutospacing="0" w:line="480" w:lineRule="auto"/>
      </w:pPr>
      <w:r>
        <w:t>Method</w:t>
      </w:r>
    </w:p>
    <w:p w14:paraId="0E5432C0" w14:textId="77777777" w:rsidR="00936EDC" w:rsidRDefault="00936EDC" w:rsidP="00E70436">
      <w:pPr>
        <w:pStyle w:val="Heading2"/>
        <w:keepNext w:val="0"/>
        <w:keepLines w:val="0"/>
        <w:widowControl w:val="0"/>
      </w:pPr>
      <w:r>
        <w:t>Sample</w:t>
      </w:r>
    </w:p>
    <w:p w14:paraId="4F2B9C55" w14:textId="77777777" w:rsidR="00805061" w:rsidRDefault="00B70DF8" w:rsidP="00E70436">
      <w:pPr>
        <w:widowControl w:val="0"/>
        <w:ind w:firstLine="720"/>
      </w:pPr>
      <w:r>
        <w:t>A total of 206 female professional students studying veterinary medicine in a large Midwestern university participated in the study, 185 of whom completed part 1 (pretest), and 181 of whom completed part 2</w:t>
      </w:r>
      <w:r w:rsidR="005C5BE7">
        <w:t xml:space="preserve"> </w:t>
      </w:r>
      <w:r>
        <w:t xml:space="preserve">(exposure &amp; posttest). Participants who completed part 1 received $5 gift cards as compensation, and those who completed both parts received $20 gift cards. Twenty-one participants whose exposure time to either the attainability message or the role model messages was less than 15 seconds or more than 900 seconds were excluded from analyses. </w:t>
      </w:r>
      <w:r>
        <w:rPr>
          <w:rFonts w:eastAsia="Times New Roman"/>
        </w:rPr>
        <w:t>The resulting sample (</w:t>
      </w:r>
      <w:r>
        <w:rPr>
          <w:rFonts w:eastAsia="Times New Roman"/>
          <w:i/>
        </w:rPr>
        <w:t>N =</w:t>
      </w:r>
      <w:r>
        <w:rPr>
          <w:rFonts w:eastAsia="Times New Roman"/>
        </w:rPr>
        <w:t xml:space="preserve"> 160) </w:t>
      </w:r>
      <w:r w:rsidR="00805061" w:rsidRPr="00805061">
        <w:t xml:space="preserve">had a mean age of </w:t>
      </w:r>
      <w:r w:rsidR="00805061" w:rsidRPr="00805061">
        <w:rPr>
          <w:i/>
        </w:rPr>
        <w:t>M</w:t>
      </w:r>
      <w:r w:rsidR="00805061" w:rsidRPr="00805061">
        <w:t xml:space="preserve"> = 24.4</w:t>
      </w:r>
      <w:r w:rsidR="005F7069">
        <w:t>9</w:t>
      </w:r>
      <w:r w:rsidR="00805061" w:rsidRPr="00805061">
        <w:t xml:space="preserve"> years (</w:t>
      </w:r>
      <w:r w:rsidR="00805061" w:rsidRPr="00805061">
        <w:rPr>
          <w:i/>
        </w:rPr>
        <w:t>SD</w:t>
      </w:r>
      <w:r w:rsidR="00ED11D6">
        <w:t xml:space="preserve"> = 2.13), with 123 (78.3</w:t>
      </w:r>
      <w:r w:rsidR="00805061" w:rsidRPr="00805061">
        <w:t>%) s</w:t>
      </w:r>
      <w:r w:rsidR="00ED11D6">
        <w:t>elf-identifying as White, 5 (3.2</w:t>
      </w:r>
      <w:r w:rsidR="00805061" w:rsidRPr="00805061">
        <w:t>%) as Black/A</w:t>
      </w:r>
      <w:r w:rsidR="00ED11D6">
        <w:t>frican American, 21 (13.4%) as Hispanic/Latino, 11 (7</w:t>
      </w:r>
      <w:r w:rsidR="00805061" w:rsidRPr="00805061">
        <w:t xml:space="preserve">%) as Asian/Pacific Islanders, 1 (0.6%) as Native American, and 4 (2.5%) as “Other.” </w:t>
      </w:r>
    </w:p>
    <w:p w14:paraId="571945A4" w14:textId="77777777" w:rsidR="00936EDC" w:rsidRDefault="002E04E4" w:rsidP="00E70436">
      <w:pPr>
        <w:pStyle w:val="Heading2"/>
        <w:keepNext w:val="0"/>
        <w:keepLines w:val="0"/>
        <w:widowControl w:val="0"/>
      </w:pPr>
      <w:r>
        <w:lastRenderedPageBreak/>
        <w:t xml:space="preserve">Experimental </w:t>
      </w:r>
      <w:r w:rsidR="00936EDC">
        <w:t xml:space="preserve">Design </w:t>
      </w:r>
      <w:r>
        <w:t xml:space="preserve">and </w:t>
      </w:r>
      <w:r w:rsidR="00936EDC">
        <w:t>Procedure</w:t>
      </w:r>
    </w:p>
    <w:p w14:paraId="7F917978" w14:textId="5FA4AA9D" w:rsidR="00DF247B" w:rsidRDefault="004C077C" w:rsidP="00E70436">
      <w:pPr>
        <w:widowControl w:val="0"/>
        <w:ind w:firstLine="720"/>
      </w:pPr>
      <w:r>
        <w:t xml:space="preserve">The study employed a 2 (attainability message: high vs. low) x 2 (role models: </w:t>
      </w:r>
      <w:r w:rsidR="003A69DA">
        <w:t>family</w:t>
      </w:r>
      <w:r w:rsidR="00A62B84">
        <w:t xml:space="preserve"> </w:t>
      </w:r>
      <w:r>
        <w:t xml:space="preserve">vs. </w:t>
      </w:r>
      <w:r w:rsidR="003A69DA">
        <w:t>non-family</w:t>
      </w:r>
      <w:r>
        <w:t>) online experimental design. The study was purportedly about evaluation of career information materials, including career magazines and fact sheets</w:t>
      </w:r>
      <w:r w:rsidR="00754729">
        <w:t xml:space="preserve"> about research career in veterinary medicine, the relevant counter-stereotypical career path for participants</w:t>
      </w:r>
      <w:r>
        <w:t>.</w:t>
      </w:r>
      <w:r w:rsidR="00DF247B">
        <w:t xml:space="preserve"> The field of veterinary medicine, </w:t>
      </w:r>
      <w:r w:rsidR="007B1048">
        <w:t xml:space="preserve">as well as </w:t>
      </w:r>
      <w:r w:rsidR="00DF247B">
        <w:t>the program participants are in</w:t>
      </w:r>
      <w:r w:rsidR="007B1048">
        <w:t>,</w:t>
      </w:r>
      <w:r w:rsidR="00DF247B">
        <w:t xml:space="preserve"> is predominantly female (approximately 80%</w:t>
      </w:r>
      <w:r w:rsidR="007B1048">
        <w:t xml:space="preserve">; </w:t>
      </w:r>
      <w:r w:rsidR="00C63499">
        <w:t>Smith, 2006</w:t>
      </w:r>
      <w:r w:rsidR="007B1048">
        <w:t>)</w:t>
      </w:r>
      <w:r w:rsidR="00DF247B">
        <w:t>.</w:t>
      </w:r>
      <w:r w:rsidR="00DF247B" w:rsidRPr="004455C6">
        <w:t xml:space="preserve"> </w:t>
      </w:r>
      <w:r w:rsidR="000E7145">
        <w:t>Graduates</w:t>
      </w:r>
      <w:r w:rsidR="00DF247B" w:rsidRPr="004455C6">
        <w:t xml:space="preserve"> can become clinicians </w:t>
      </w:r>
      <w:r w:rsidR="001F1C8A">
        <w:t xml:space="preserve">and practice veterinary </w:t>
      </w:r>
      <w:proofErr w:type="gramStart"/>
      <w:r w:rsidR="001F1C8A">
        <w:t xml:space="preserve">medicine, </w:t>
      </w:r>
      <w:r w:rsidR="00DF247B" w:rsidRPr="004455C6">
        <w:t>or</w:t>
      </w:r>
      <w:proofErr w:type="gramEnd"/>
      <w:r w:rsidR="00DF247B" w:rsidRPr="004455C6">
        <w:t xml:space="preserve"> pursue </w:t>
      </w:r>
      <w:r w:rsidR="000E7145">
        <w:t xml:space="preserve">post-graduate studies and </w:t>
      </w:r>
      <w:r w:rsidR="00DF247B" w:rsidRPr="004455C6">
        <w:t>research-track careers focusing on their clinical specialty (</w:t>
      </w:r>
      <w:r w:rsidR="001F1C8A">
        <w:t xml:space="preserve">pathology, </w:t>
      </w:r>
      <w:r w:rsidR="000E7145">
        <w:t xml:space="preserve">immunology, epidemiology, etc.), </w:t>
      </w:r>
      <w:r w:rsidR="001F1C8A">
        <w:t>conduct</w:t>
      </w:r>
      <w:r w:rsidR="000E7145">
        <w:t>ing</w:t>
      </w:r>
      <w:r w:rsidR="001F1C8A">
        <w:t xml:space="preserve"> studies to </w:t>
      </w:r>
      <w:r w:rsidR="00960BC3">
        <w:t>test</w:t>
      </w:r>
      <w:r w:rsidR="00DF247B" w:rsidRPr="004455C6">
        <w:t xml:space="preserve"> new </w:t>
      </w:r>
      <w:r w:rsidR="00960BC3">
        <w:t xml:space="preserve">drugs and </w:t>
      </w:r>
      <w:r w:rsidR="00DF247B" w:rsidRPr="004455C6">
        <w:t>treatments.</w:t>
      </w:r>
      <w:r w:rsidR="00771B75">
        <w:t xml:space="preserve"> According to a report by the American Veterinary Medical Association (</w:t>
      </w:r>
      <w:r w:rsidR="00677D0B" w:rsidRPr="00677D0B">
        <w:t>AVMA, 2017</w:t>
      </w:r>
      <w:r w:rsidR="00FD5359">
        <w:t>), about 22.5</w:t>
      </w:r>
      <w:r w:rsidR="00771B75">
        <w:t>% of veterinarians in the U.S. worked in research</w:t>
      </w:r>
      <w:r w:rsidR="00FD5359">
        <w:t>-related professions</w:t>
      </w:r>
      <w:r w:rsidR="00771B75">
        <w:t xml:space="preserve"> in academia, industry, or government sectors</w:t>
      </w:r>
      <w:r w:rsidR="000E7145">
        <w:t>.</w:t>
      </w:r>
      <w:r w:rsidR="00FD5359">
        <w:t xml:space="preserve"> </w:t>
      </w:r>
      <w:r w:rsidR="00677D0B">
        <w:t>R</w:t>
      </w:r>
      <w:r w:rsidR="000E7145">
        <w:t xml:space="preserve">eports by the National Research Council </w:t>
      </w:r>
      <w:r w:rsidR="00D14B72">
        <w:t xml:space="preserve">(2013) </w:t>
      </w:r>
      <w:r w:rsidR="000E7145">
        <w:t>emphasized the need for and</w:t>
      </w:r>
      <w:r w:rsidR="000E7145" w:rsidRPr="000E7145">
        <w:t xml:space="preserve"> </w:t>
      </w:r>
      <w:r w:rsidR="007A42F5">
        <w:t xml:space="preserve">the </w:t>
      </w:r>
      <w:r w:rsidR="000E7145" w:rsidRPr="000E7145">
        <w:t>shortage of researchers with a veterinary medicine background</w:t>
      </w:r>
      <w:r w:rsidR="000E7145">
        <w:t>, and more schools are providing programs with a research focus (</w:t>
      </w:r>
      <w:r w:rsidR="000E7145" w:rsidRPr="00677D0B">
        <w:t>Chiu, 2010</w:t>
      </w:r>
      <w:r w:rsidR="000E7145">
        <w:t>).</w:t>
      </w:r>
      <w:r w:rsidR="000E7145" w:rsidRPr="000E7145">
        <w:t xml:space="preserve"> </w:t>
      </w:r>
      <w:r w:rsidR="000E7145">
        <w:t xml:space="preserve">Although women made up the </w:t>
      </w:r>
      <w:proofErr w:type="gramStart"/>
      <w:r w:rsidR="000E7145">
        <w:t>vast majority</w:t>
      </w:r>
      <w:proofErr w:type="gramEnd"/>
      <w:r w:rsidR="000E7145">
        <w:t xml:space="preserve"> of veterinary medicine students and clinicians</w:t>
      </w:r>
      <w:r w:rsidR="00FD5359">
        <w:t xml:space="preserve">, </w:t>
      </w:r>
      <w:r w:rsidR="000E7145">
        <w:t xml:space="preserve">less than </w:t>
      </w:r>
      <w:r w:rsidR="00FD5359">
        <w:t xml:space="preserve">43% of </w:t>
      </w:r>
      <w:r w:rsidR="000E7145">
        <w:t>researchers are women (AVMA, 201</w:t>
      </w:r>
      <w:r w:rsidR="00D14B72">
        <w:t>7</w:t>
      </w:r>
      <w:r w:rsidR="000E7145">
        <w:t>).</w:t>
      </w:r>
      <w:r w:rsidR="001774AB" w:rsidRPr="001774AB">
        <w:t xml:space="preserve"> </w:t>
      </w:r>
      <w:r w:rsidR="001774AB">
        <w:t>Thus, the clinical path is the stereotypically female career for this population</w:t>
      </w:r>
      <w:r w:rsidR="00DF247B" w:rsidRPr="004455C6">
        <w:t>,</w:t>
      </w:r>
      <w:r w:rsidR="00DF247B">
        <w:t xml:space="preserve"> </w:t>
      </w:r>
      <w:r w:rsidR="001774AB">
        <w:t xml:space="preserve">the </w:t>
      </w:r>
      <w:r w:rsidR="00DF247B" w:rsidRPr="004455C6">
        <w:t>research</w:t>
      </w:r>
      <w:r w:rsidR="001774AB">
        <w:t xml:space="preserve"> path </w:t>
      </w:r>
      <w:r w:rsidR="00DF247B">
        <w:t xml:space="preserve">the relevant stereotypically male </w:t>
      </w:r>
      <w:r w:rsidR="000E7145">
        <w:t>career, and the need for more researchers is well acknowledged within the field.</w:t>
      </w:r>
    </w:p>
    <w:p w14:paraId="0AEDE915" w14:textId="77777777" w:rsidR="007D0672" w:rsidRPr="00AA2A4C" w:rsidRDefault="000E6661" w:rsidP="00E70436">
      <w:pPr>
        <w:widowControl w:val="0"/>
        <w:ind w:firstLine="720"/>
        <w:rPr>
          <w:vertAlign w:val="superscript"/>
        </w:rPr>
      </w:pPr>
      <w:r>
        <w:t xml:space="preserve">Of note, the work-life conflict (conflict between the family role and the career role) is not isolated to the research path in veterinary medicine. </w:t>
      </w:r>
      <w:proofErr w:type="spellStart"/>
      <w:r w:rsidRPr="000E6661">
        <w:t>Mastenbroek</w:t>
      </w:r>
      <w:proofErr w:type="spellEnd"/>
      <w:r>
        <w:t xml:space="preserve">, </w:t>
      </w:r>
      <w:proofErr w:type="spellStart"/>
      <w:r w:rsidRPr="000E6661">
        <w:t>Jaarsma</w:t>
      </w:r>
      <w:proofErr w:type="spellEnd"/>
      <w:r>
        <w:t xml:space="preserve">, </w:t>
      </w:r>
      <w:proofErr w:type="spellStart"/>
      <w:r w:rsidRPr="000E6661">
        <w:t>Scherpbier</w:t>
      </w:r>
      <w:proofErr w:type="spellEnd"/>
      <w:r>
        <w:t xml:space="preserve">, </w:t>
      </w:r>
      <w:r w:rsidRPr="000E6661">
        <w:t xml:space="preserve">van </w:t>
      </w:r>
      <w:proofErr w:type="spellStart"/>
      <w:r w:rsidRPr="000E6661">
        <w:t>Beukelen</w:t>
      </w:r>
      <w:proofErr w:type="spellEnd"/>
      <w:r>
        <w:t xml:space="preserve">, and </w:t>
      </w:r>
      <w:proofErr w:type="spellStart"/>
      <w:r w:rsidRPr="000E6661">
        <w:t>Demerouti</w:t>
      </w:r>
      <w:proofErr w:type="spellEnd"/>
      <w:r>
        <w:t xml:space="preserve"> (2014) documented such conflict among </w:t>
      </w:r>
      <w:r w:rsidR="009E25B3">
        <w:t xml:space="preserve">clinical </w:t>
      </w:r>
      <w:r>
        <w:t>veterinarians</w:t>
      </w:r>
      <w:r w:rsidR="004C1402">
        <w:t xml:space="preserve">, and </w:t>
      </w:r>
      <w:proofErr w:type="spellStart"/>
      <w:r w:rsidR="004C1402" w:rsidRPr="004C1402">
        <w:t>Mastenbroek</w:t>
      </w:r>
      <w:proofErr w:type="spellEnd"/>
      <w:r w:rsidR="004C1402">
        <w:t xml:space="preserve"> et al. (2014) showed that this conflict is more pronounced among young female veterinarians</w:t>
      </w:r>
      <w:r w:rsidR="009E25B3">
        <w:t xml:space="preserve">. However, this line of research focuses on the impact of experienced work-life </w:t>
      </w:r>
      <w:r w:rsidR="009E25B3">
        <w:lastRenderedPageBreak/>
        <w:t xml:space="preserve">conflict </w:t>
      </w:r>
      <w:r w:rsidR="007D0672" w:rsidRPr="007D0672">
        <w:t xml:space="preserve">on job performance and well-being </w:t>
      </w:r>
      <w:r w:rsidR="009E25B3">
        <w:t xml:space="preserve">for </w:t>
      </w:r>
      <w:r w:rsidR="007D0672">
        <w:t xml:space="preserve">practicing </w:t>
      </w:r>
      <w:r w:rsidR="009E25B3">
        <w:t xml:space="preserve">veterinarians as opposed to the impact of anticipated work-life conflict on career decisions of veterinary medicine students. </w:t>
      </w:r>
      <w:r w:rsidR="004C1402" w:rsidRPr="004C1402">
        <w:t xml:space="preserve">It is not known </w:t>
      </w:r>
      <w:r w:rsidR="004C1402">
        <w:t>how</w:t>
      </w:r>
      <w:r w:rsidR="004C1402" w:rsidRPr="004C1402">
        <w:t xml:space="preserve"> the level</w:t>
      </w:r>
      <w:r w:rsidR="004C1402">
        <w:t>s</w:t>
      </w:r>
      <w:r w:rsidR="004C1402" w:rsidRPr="004C1402">
        <w:t xml:space="preserve"> </w:t>
      </w:r>
      <w:r w:rsidR="004C1402">
        <w:t xml:space="preserve">of experienced work-life conflict among clinicians compare to that among researchers. </w:t>
      </w:r>
      <w:r w:rsidR="007D0672">
        <w:t xml:space="preserve">For </w:t>
      </w:r>
      <w:r w:rsidR="004C1402">
        <w:t>female veterinarian students</w:t>
      </w:r>
      <w:r w:rsidR="007D0672">
        <w:t xml:space="preserve"> who are</w:t>
      </w:r>
      <w:r w:rsidR="00E96F0A">
        <w:t xml:space="preserve"> comparing and</w:t>
      </w:r>
      <w:r w:rsidR="007D0672">
        <w:t xml:space="preserve"> </w:t>
      </w:r>
      <w:r w:rsidR="004C1402">
        <w:t>deciding between the two career paths</w:t>
      </w:r>
      <w:r w:rsidR="007D0672">
        <w:t>,</w:t>
      </w:r>
      <w:r w:rsidR="004C1402">
        <w:t xml:space="preserve"> however,</w:t>
      </w:r>
      <w:r w:rsidR="007D0672">
        <w:t xml:space="preserve"> mentions of </w:t>
      </w:r>
      <w:r w:rsidR="004C1402">
        <w:t xml:space="preserve">anticipated </w:t>
      </w:r>
      <w:r w:rsidR="007D0672">
        <w:t>work-life conflict were repeatedly and explicitly brought up as a potential barrier of them entering a research career, indicating that this concern for the research path is more salient and more strongly considered compared to the clinical path.</w:t>
      </w:r>
      <w:r w:rsidR="007D0672">
        <w:rPr>
          <w:vertAlign w:val="superscript"/>
        </w:rPr>
        <w:t>1</w:t>
      </w:r>
    </w:p>
    <w:p w14:paraId="6413811A" w14:textId="7B0FEEB4" w:rsidR="004C077C" w:rsidRPr="004C077C" w:rsidRDefault="007D0672" w:rsidP="00E70436">
      <w:pPr>
        <w:widowControl w:val="0"/>
      </w:pPr>
      <w:r>
        <w:tab/>
      </w:r>
      <w:r w:rsidR="004C077C">
        <w:t xml:space="preserve">In part 1, participants first completed an online </w:t>
      </w:r>
      <w:r w:rsidR="004C077C" w:rsidRPr="00FB2097">
        <w:t>pretest</w:t>
      </w:r>
      <w:r w:rsidR="004C077C">
        <w:t xml:space="preserve"> in which they reported their baseline levels of interest in the </w:t>
      </w:r>
      <w:r w:rsidR="007F6A95">
        <w:t>research</w:t>
      </w:r>
      <w:r w:rsidR="004C077C">
        <w:t xml:space="preserve"> career, </w:t>
      </w:r>
      <w:r w:rsidR="007F6A95">
        <w:t>family life role salience</w:t>
      </w:r>
      <w:r w:rsidR="004C077C">
        <w:t xml:space="preserve">, </w:t>
      </w:r>
      <w:r w:rsidR="000A3A5B">
        <w:t xml:space="preserve">current GPA, </w:t>
      </w:r>
      <w:r w:rsidR="004C077C">
        <w:t>as well as their demographic information</w:t>
      </w:r>
      <w:r w:rsidR="004C077C" w:rsidRPr="00FB2097">
        <w:t xml:space="preserve">. </w:t>
      </w:r>
      <w:r w:rsidR="00EA2A30">
        <w:t>F</w:t>
      </w:r>
      <w:r w:rsidR="004C077C">
        <w:t>our to six days later, t</w:t>
      </w:r>
      <w:r w:rsidR="004C077C" w:rsidRPr="00FB2097">
        <w:t>hey</w:t>
      </w:r>
      <w:r w:rsidR="004C077C">
        <w:t xml:space="preserve"> were sent the link to part 2, which </w:t>
      </w:r>
      <w:r w:rsidR="00667817">
        <w:t xml:space="preserve">included message exposure </w:t>
      </w:r>
      <w:r w:rsidR="004C077C">
        <w:t>and a posttest questionnaire. First, participants were randomly assigned to read either the high</w:t>
      </w:r>
      <w:r w:rsidR="00C04A6B">
        <w:t xml:space="preserve"> (</w:t>
      </w:r>
      <w:r w:rsidR="00C04A6B" w:rsidRPr="00C05E90">
        <w:rPr>
          <w:i/>
        </w:rPr>
        <w:t>N</w:t>
      </w:r>
      <w:r w:rsidR="00C04A6B">
        <w:t xml:space="preserve"> = 76)</w:t>
      </w:r>
      <w:r w:rsidR="004C077C">
        <w:t xml:space="preserve"> or the low</w:t>
      </w:r>
      <w:r w:rsidR="00EA2A30">
        <w:t>-</w:t>
      </w:r>
      <w:r w:rsidR="004C077C">
        <w:t>attainability message</w:t>
      </w:r>
      <w:r w:rsidR="00C05E90">
        <w:t xml:space="preserve"> (</w:t>
      </w:r>
      <w:r w:rsidR="00C05E90" w:rsidRPr="00C05E90">
        <w:rPr>
          <w:i/>
        </w:rPr>
        <w:t>N</w:t>
      </w:r>
      <w:r w:rsidR="000B3536">
        <w:t xml:space="preserve"> = 84</w:t>
      </w:r>
      <w:r w:rsidR="00C05E90">
        <w:t>)</w:t>
      </w:r>
      <w:r w:rsidR="004C077C">
        <w:t>, which was presented as a career fact sheet. Then, they were again randomly assigned to read</w:t>
      </w:r>
      <w:r w:rsidR="00DA6FEA">
        <w:t xml:space="preserve"> career magazine</w:t>
      </w:r>
      <w:r w:rsidR="004C077C">
        <w:t xml:space="preserve"> articles featuring role models with either high</w:t>
      </w:r>
      <w:r w:rsidR="00C05E90">
        <w:t xml:space="preserve"> (</w:t>
      </w:r>
      <w:r w:rsidR="00C05E90" w:rsidRPr="00C05E90">
        <w:rPr>
          <w:i/>
        </w:rPr>
        <w:t>N</w:t>
      </w:r>
      <w:r w:rsidR="00C05E90">
        <w:t xml:space="preserve"> = 80)</w:t>
      </w:r>
      <w:r w:rsidR="004C077C">
        <w:t xml:space="preserve"> or low role congruity </w:t>
      </w:r>
      <w:r w:rsidR="00C05E90">
        <w:t>(</w:t>
      </w:r>
      <w:r w:rsidR="00C05E90" w:rsidRPr="00C05E90">
        <w:rPr>
          <w:i/>
        </w:rPr>
        <w:t>N</w:t>
      </w:r>
      <w:r w:rsidR="000B3536">
        <w:t xml:space="preserve"> = 80</w:t>
      </w:r>
      <w:r w:rsidR="00C05E90">
        <w:t>)</w:t>
      </w:r>
      <w:r w:rsidR="004C077C" w:rsidRPr="00FB2097">
        <w:t xml:space="preserve">. </w:t>
      </w:r>
      <w:r w:rsidR="00DA6FEA">
        <w:t>In the high</w:t>
      </w:r>
      <w:r w:rsidR="00EA2A30">
        <w:t>-</w:t>
      </w:r>
      <w:r w:rsidR="00DA6FEA">
        <w:t xml:space="preserve">congruity condition, participants read three articles featuring three different role models, all of whom were portrayed in both career and family roles. Similarly, in the low congruity condition, </w:t>
      </w:r>
      <w:r w:rsidR="00DA6FEA" w:rsidRPr="00DA6FEA">
        <w:t xml:space="preserve">participants read three articles </w:t>
      </w:r>
      <w:r w:rsidR="007F6A95">
        <w:t>with</w:t>
      </w:r>
      <w:r w:rsidR="007F6A95" w:rsidRPr="00DA6FEA">
        <w:t xml:space="preserve"> </w:t>
      </w:r>
      <w:r w:rsidR="00DA6FEA" w:rsidRPr="00DA6FEA">
        <w:t>three different role models</w:t>
      </w:r>
      <w:r w:rsidR="007F6A95">
        <w:t xml:space="preserve"> </w:t>
      </w:r>
      <w:r w:rsidR="00DA6FEA" w:rsidRPr="00DA6FEA">
        <w:t xml:space="preserve">portrayed in </w:t>
      </w:r>
      <w:r w:rsidR="00DA6FEA">
        <w:t>the career role only.</w:t>
      </w:r>
      <w:r w:rsidR="00DA6FEA" w:rsidRPr="00DA6FEA">
        <w:t xml:space="preserve"> </w:t>
      </w:r>
      <w:r w:rsidR="004C077C">
        <w:t xml:space="preserve">After reading the articles, participants </w:t>
      </w:r>
      <w:r w:rsidR="00DA6FEA">
        <w:t xml:space="preserve">were asked to evaluate the fact sheets and the magazine articles to enforce the cover story. They then </w:t>
      </w:r>
      <w:r w:rsidR="004C077C">
        <w:t>answered a posttest questionnaire</w:t>
      </w:r>
      <w:r w:rsidR="00DA6FEA">
        <w:t>, in which they indicated their level of self-inspiration and their posttest level of</w:t>
      </w:r>
      <w:r w:rsidR="007F6A95">
        <w:t xml:space="preserve"> research</w:t>
      </w:r>
      <w:r w:rsidR="00DA6FEA">
        <w:t xml:space="preserve"> career interest</w:t>
      </w:r>
      <w:r w:rsidR="007F6A95">
        <w:t>.</w:t>
      </w:r>
      <w:r w:rsidR="004C077C" w:rsidRPr="00FB2097">
        <w:t xml:space="preserve"> </w:t>
      </w:r>
      <w:r w:rsidR="004C077C">
        <w:t>Finally</w:t>
      </w:r>
      <w:r w:rsidR="004C077C" w:rsidRPr="00FB2097">
        <w:t xml:space="preserve">, </w:t>
      </w:r>
      <w:r w:rsidR="004C077C">
        <w:t>they were thanked and debriefed.</w:t>
      </w:r>
    </w:p>
    <w:p w14:paraId="5B4C9E4E" w14:textId="77777777" w:rsidR="00936EDC" w:rsidRDefault="00936EDC" w:rsidP="00E70436">
      <w:pPr>
        <w:pStyle w:val="Heading2"/>
        <w:keepNext w:val="0"/>
        <w:keepLines w:val="0"/>
        <w:widowControl w:val="0"/>
      </w:pPr>
      <w:r>
        <w:t>Stimuli</w:t>
      </w:r>
    </w:p>
    <w:p w14:paraId="25620AB4" w14:textId="214CDBE8" w:rsidR="00D23EC8" w:rsidRDefault="00672480" w:rsidP="00E70436">
      <w:pPr>
        <w:widowControl w:val="0"/>
        <w:ind w:firstLine="720"/>
      </w:pPr>
      <w:r>
        <w:rPr>
          <w:b/>
        </w:rPr>
        <w:t xml:space="preserve">Career </w:t>
      </w:r>
      <w:r w:rsidR="00EA2A30">
        <w:rPr>
          <w:b/>
        </w:rPr>
        <w:t>a</w:t>
      </w:r>
      <w:r w:rsidR="0030047C">
        <w:rPr>
          <w:b/>
        </w:rPr>
        <w:t xml:space="preserve">ttainability </w:t>
      </w:r>
      <w:r w:rsidR="00EA2A30">
        <w:rPr>
          <w:b/>
        </w:rPr>
        <w:t>m</w:t>
      </w:r>
      <w:r w:rsidR="0030047C">
        <w:rPr>
          <w:b/>
        </w:rPr>
        <w:t>anipulation</w:t>
      </w:r>
      <w:r w:rsidR="00936EDC">
        <w:rPr>
          <w:b/>
        </w:rPr>
        <w:t xml:space="preserve">. </w:t>
      </w:r>
      <w:r>
        <w:t xml:space="preserve">The manipulation of the low vs. high career </w:t>
      </w:r>
      <w:r>
        <w:lastRenderedPageBreak/>
        <w:t>attainability message built on approaches used by Harrison, Taylor, and Marske (</w:t>
      </w:r>
      <w:r w:rsidRPr="00C34351">
        <w:t>2006</w:t>
      </w:r>
      <w:r>
        <w:t xml:space="preserve">), </w:t>
      </w:r>
      <w:proofErr w:type="spellStart"/>
      <w:r w:rsidRPr="004839CC">
        <w:t>Mussweiler</w:t>
      </w:r>
      <w:proofErr w:type="spellEnd"/>
      <w:r>
        <w:t xml:space="preserve"> (</w:t>
      </w:r>
      <w:r w:rsidRPr="004839CC">
        <w:t>2001</w:t>
      </w:r>
      <w:r>
        <w:t xml:space="preserve">), Lockwood and </w:t>
      </w:r>
      <w:proofErr w:type="spellStart"/>
      <w:r>
        <w:t>Kunda</w:t>
      </w:r>
      <w:proofErr w:type="spellEnd"/>
      <w:r>
        <w:t xml:space="preserve"> (1997), and </w:t>
      </w:r>
      <w:r w:rsidR="00A80809" w:rsidRPr="00833F39">
        <w:t xml:space="preserve">Veldhuis, </w:t>
      </w:r>
      <w:proofErr w:type="spellStart"/>
      <w:r w:rsidR="00A80809" w:rsidRPr="00833F39">
        <w:t>Konijn</w:t>
      </w:r>
      <w:proofErr w:type="spellEnd"/>
      <w:r w:rsidR="00A80809" w:rsidRPr="00833F39">
        <w:t>, &amp; Knobloch-Westerwick (2017)</w:t>
      </w:r>
      <w:r w:rsidRPr="00833F39">
        <w:t>.</w:t>
      </w:r>
      <w:r>
        <w:t xml:space="preserve"> </w:t>
      </w:r>
      <w:r w:rsidR="00680944">
        <w:t>T</w:t>
      </w:r>
      <w:r w:rsidR="00D23EC8">
        <w:t>he high attainability version (1) use</w:t>
      </w:r>
      <w:r>
        <w:t>d</w:t>
      </w:r>
      <w:r w:rsidR="00D23EC8">
        <w:t xml:space="preserve"> future instead of present tense to increase the </w:t>
      </w:r>
      <w:r w:rsidR="00D23EC8" w:rsidRPr="00D23EC8">
        <w:t>perceived amount of time participants have to achieve the same level of success as the target</w:t>
      </w:r>
      <w:r w:rsidR="00D23EC8">
        <w:t>, (2) use</w:t>
      </w:r>
      <w:r>
        <w:t>d</w:t>
      </w:r>
      <w:r w:rsidR="00D23EC8">
        <w:t xml:space="preserve"> first-person instead of third-person pronoun to prime similarity, </w:t>
      </w:r>
      <w:r w:rsidR="00B85521">
        <w:t>and (3) include</w:t>
      </w:r>
      <w:r>
        <w:t>d</w:t>
      </w:r>
      <w:r w:rsidR="00B85521">
        <w:t xml:space="preserve"> specific instruction as to how particip</w:t>
      </w:r>
      <w:r w:rsidR="00936EDC">
        <w:t>ants can obtain the achievement</w:t>
      </w:r>
      <w:r w:rsidR="00ED3C88">
        <w:t xml:space="preserve"> (see </w:t>
      </w:r>
      <w:r w:rsidR="007F6A95">
        <w:t>the online appendix for the full text of the stimuli)</w:t>
      </w:r>
      <w:r w:rsidR="00680944">
        <w:t xml:space="preserve">. </w:t>
      </w:r>
      <w:r>
        <w:t xml:space="preserve">Given the present context of </w:t>
      </w:r>
      <w:r w:rsidR="00680944" w:rsidRPr="00680944">
        <w:t xml:space="preserve">women’s participation and interest in a counter-stereotypical career, the attainability message </w:t>
      </w:r>
      <w:r>
        <w:t xml:space="preserve">took </w:t>
      </w:r>
      <w:r w:rsidR="00680944" w:rsidRPr="00680944">
        <w:t xml:space="preserve">the form of a fact sheet about the career, </w:t>
      </w:r>
      <w:r>
        <w:t xml:space="preserve">which </w:t>
      </w:r>
      <w:r w:rsidR="00ED3C88">
        <w:t xml:space="preserve">could be easily adopted </w:t>
      </w:r>
      <w:r>
        <w:t xml:space="preserve">in </w:t>
      </w:r>
      <w:r w:rsidR="00680944">
        <w:t>a communication intervention</w:t>
      </w:r>
      <w:r w:rsidR="00936EDC">
        <w:t>.</w:t>
      </w:r>
    </w:p>
    <w:p w14:paraId="3D41523D" w14:textId="77777777" w:rsidR="00936EDC" w:rsidRDefault="00936EDC" w:rsidP="00E70436">
      <w:pPr>
        <w:widowControl w:val="0"/>
      </w:pPr>
      <w:r>
        <w:tab/>
      </w:r>
      <w:r w:rsidR="00754729">
        <w:t>The attainability message</w:t>
      </w:r>
      <w:r w:rsidR="00ED3C88">
        <w:t xml:space="preserve"> manipulation was</w:t>
      </w:r>
      <w:r w:rsidR="00754729">
        <w:t xml:space="preserve"> pretested with a sample (</w:t>
      </w:r>
      <w:r w:rsidR="00754729" w:rsidRPr="00754729">
        <w:rPr>
          <w:i/>
        </w:rPr>
        <w:t>N</w:t>
      </w:r>
      <w:r w:rsidR="00754729">
        <w:t xml:space="preserve"> = 47) of undergraduate students. Participants were randomly assigned to read one of the two messages, and were then asked to indicate how enjoyable, interesting, informative, helpful</w:t>
      </w:r>
      <w:r w:rsidR="00C2631F">
        <w:t>, and realistic</w:t>
      </w:r>
      <w:r w:rsidR="00754729">
        <w:t xml:space="preserve"> the fact sheet was, as well as their level of agreement or disagreement to the following statement ‘A typical student will be able to pursue a research career in veterinary medicine’ on a scale of 1-7. Results showed no significant differences between </w:t>
      </w:r>
      <w:r w:rsidR="00680944">
        <w:t xml:space="preserve">the two fact sheets in </w:t>
      </w:r>
      <w:r w:rsidR="00680944" w:rsidRPr="00680944">
        <w:t>how enjoyable, interesting, informative, helpful</w:t>
      </w:r>
      <w:r w:rsidR="00C2631F">
        <w:t>, and realistic</w:t>
      </w:r>
      <w:r w:rsidR="00680944" w:rsidRPr="00680944">
        <w:t xml:space="preserve"> </w:t>
      </w:r>
      <w:r w:rsidR="00680944">
        <w:t xml:space="preserve">they were. The high attainability message </w:t>
      </w:r>
      <w:bookmarkStart w:id="3" w:name="_Hlk495964271"/>
      <w:r w:rsidR="00680944">
        <w:t>(</w:t>
      </w:r>
      <w:r w:rsidR="00680944" w:rsidRPr="00680944">
        <w:rPr>
          <w:i/>
        </w:rPr>
        <w:t>M</w:t>
      </w:r>
      <w:r w:rsidR="00680944">
        <w:t xml:space="preserve"> = 5.04, </w:t>
      </w:r>
      <w:r w:rsidR="00680944" w:rsidRPr="00680944">
        <w:rPr>
          <w:i/>
        </w:rPr>
        <w:t>SD</w:t>
      </w:r>
      <w:r w:rsidR="00680944">
        <w:t xml:space="preserve"> = 1.46) </w:t>
      </w:r>
      <w:bookmarkEnd w:id="3"/>
      <w:r w:rsidR="00680944">
        <w:t>was evaluated to portray the research career to be significantly more attainable than the low attainability message (</w:t>
      </w:r>
      <w:bookmarkStart w:id="4" w:name="_Hlk496886810"/>
      <w:r w:rsidR="00680944" w:rsidRPr="00680944">
        <w:rPr>
          <w:i/>
        </w:rPr>
        <w:t>M</w:t>
      </w:r>
      <w:r w:rsidR="00680944">
        <w:t xml:space="preserve"> = 3.91, </w:t>
      </w:r>
      <w:r w:rsidR="00680944" w:rsidRPr="00680944">
        <w:rPr>
          <w:i/>
        </w:rPr>
        <w:t>SD</w:t>
      </w:r>
      <w:r w:rsidR="00680944">
        <w:t xml:space="preserve"> = 1.31</w:t>
      </w:r>
      <w:bookmarkEnd w:id="4"/>
      <w:r w:rsidR="00680944">
        <w:t xml:space="preserve">), </w:t>
      </w:r>
      <w:proofErr w:type="gramStart"/>
      <w:r w:rsidR="00680944" w:rsidRPr="008220BB">
        <w:rPr>
          <w:i/>
        </w:rPr>
        <w:t>F</w:t>
      </w:r>
      <w:r w:rsidR="00680944">
        <w:t>(</w:t>
      </w:r>
      <w:proofErr w:type="gramEnd"/>
      <w:r w:rsidR="00680944">
        <w:t xml:space="preserve">1, 46) = 7.76, </w:t>
      </w:r>
      <w:r w:rsidR="00680944" w:rsidRPr="008220BB">
        <w:rPr>
          <w:i/>
        </w:rPr>
        <w:t>p</w:t>
      </w:r>
      <w:r w:rsidR="00680944">
        <w:t xml:space="preserve"> = .008</w:t>
      </w:r>
      <w:r w:rsidR="00680944" w:rsidRPr="00EB2992">
        <w:t xml:space="preserve">, </w:t>
      </w:r>
      <w:r w:rsidR="00680944">
        <w:rPr>
          <w:i/>
        </w:rPr>
        <w:t>η</w:t>
      </w:r>
      <w:r w:rsidR="00680944">
        <w:rPr>
          <w:i/>
          <w:vertAlign w:val="superscript"/>
        </w:rPr>
        <w:t>2</w:t>
      </w:r>
      <w:r w:rsidR="00680944">
        <w:t xml:space="preserve"> =.022.</w:t>
      </w:r>
    </w:p>
    <w:p w14:paraId="0DFCC681" w14:textId="77777777" w:rsidR="003A54FF" w:rsidRDefault="003A54FF" w:rsidP="00E70436">
      <w:pPr>
        <w:widowControl w:val="0"/>
      </w:pPr>
      <w:r>
        <w:tab/>
        <w:t xml:space="preserve">During the main study, </w:t>
      </w:r>
      <w:r w:rsidR="00AC55C7">
        <w:t>participants spent</w:t>
      </w:r>
      <w:r w:rsidR="00A3022B">
        <w:t xml:space="preserve"> an average of </w:t>
      </w:r>
      <w:r w:rsidR="00A3022B" w:rsidRPr="00EB22C3">
        <w:rPr>
          <w:i/>
        </w:rPr>
        <w:t>M</w:t>
      </w:r>
      <w:r w:rsidR="00AC55C7">
        <w:t xml:space="preserve"> = 116.52</w:t>
      </w:r>
      <w:r w:rsidR="003920A8">
        <w:t>s</w:t>
      </w:r>
      <w:r w:rsidR="00A3022B">
        <w:t xml:space="preserve"> (</w:t>
      </w:r>
      <w:r w:rsidR="00A3022B" w:rsidRPr="00EB22C3">
        <w:rPr>
          <w:i/>
        </w:rPr>
        <w:t>SD</w:t>
      </w:r>
      <w:r w:rsidR="00AC55C7">
        <w:t xml:space="preserve"> = 73.42</w:t>
      </w:r>
      <w:r w:rsidR="00A3022B">
        <w:t>)</w:t>
      </w:r>
      <w:r w:rsidR="00AC55C7">
        <w:t xml:space="preserve"> on the high attainability message, and </w:t>
      </w:r>
      <w:r w:rsidR="00AC55C7" w:rsidRPr="00EB22C3">
        <w:rPr>
          <w:i/>
        </w:rPr>
        <w:t>M</w:t>
      </w:r>
      <w:r w:rsidR="00AC55C7">
        <w:t xml:space="preserve"> = 99.06</w:t>
      </w:r>
      <w:r w:rsidR="003920A8">
        <w:t>s</w:t>
      </w:r>
      <w:r w:rsidR="00AC55C7">
        <w:t xml:space="preserve"> (</w:t>
      </w:r>
      <w:r w:rsidR="00AC55C7" w:rsidRPr="00EB22C3">
        <w:rPr>
          <w:i/>
        </w:rPr>
        <w:t>SD</w:t>
      </w:r>
      <w:r w:rsidR="00AC55C7">
        <w:t xml:space="preserve"> = 95.7) on the low attainability message.</w:t>
      </w:r>
    </w:p>
    <w:p w14:paraId="3557FC42" w14:textId="7104C24F" w:rsidR="0034420B" w:rsidRPr="00356CA1" w:rsidRDefault="00936EDC" w:rsidP="00E70436">
      <w:pPr>
        <w:widowControl w:val="0"/>
      </w:pPr>
      <w:r>
        <w:tab/>
      </w:r>
      <w:r w:rsidR="00662E0D">
        <w:rPr>
          <w:b/>
        </w:rPr>
        <w:t>R</w:t>
      </w:r>
      <w:r w:rsidRPr="00936EDC">
        <w:rPr>
          <w:b/>
        </w:rPr>
        <w:t xml:space="preserve">ole </w:t>
      </w:r>
      <w:proofErr w:type="gramStart"/>
      <w:r w:rsidR="00EA2A30">
        <w:rPr>
          <w:b/>
        </w:rPr>
        <w:t>m</w:t>
      </w:r>
      <w:r w:rsidRPr="00936EDC">
        <w:rPr>
          <w:b/>
        </w:rPr>
        <w:t>odels</w:t>
      </w:r>
      <w:proofErr w:type="gramEnd"/>
      <w:r w:rsidR="00D34714">
        <w:rPr>
          <w:b/>
        </w:rPr>
        <w:t xml:space="preserve"> </w:t>
      </w:r>
      <w:r w:rsidR="00EA2A30">
        <w:rPr>
          <w:b/>
        </w:rPr>
        <w:t>m</w:t>
      </w:r>
      <w:r w:rsidR="00D34714">
        <w:rPr>
          <w:b/>
        </w:rPr>
        <w:t>anipulation</w:t>
      </w:r>
      <w:r w:rsidRPr="00936EDC">
        <w:rPr>
          <w:b/>
        </w:rPr>
        <w:t>.</w:t>
      </w:r>
      <w:r w:rsidR="00680944">
        <w:rPr>
          <w:b/>
        </w:rPr>
        <w:t xml:space="preserve"> </w:t>
      </w:r>
      <w:r w:rsidR="00C2631F">
        <w:t>Three</w:t>
      </w:r>
      <w:r w:rsidR="0034420B">
        <w:t xml:space="preserve"> magazine articles featuring </w:t>
      </w:r>
      <w:r w:rsidR="00C2631F">
        <w:t>three</w:t>
      </w:r>
      <w:r w:rsidR="0034420B">
        <w:t xml:space="preserve"> different female role models were created, each of which ha</w:t>
      </w:r>
      <w:r w:rsidR="009F38BF">
        <w:t>d</w:t>
      </w:r>
      <w:r w:rsidR="0034420B">
        <w:t xml:space="preserve"> a </w:t>
      </w:r>
      <w:r w:rsidR="003A69DA">
        <w:t>family</w:t>
      </w:r>
      <w:r w:rsidR="00662E0D">
        <w:t xml:space="preserve"> </w:t>
      </w:r>
      <w:r w:rsidR="0034420B">
        <w:t xml:space="preserve">version and a </w:t>
      </w:r>
      <w:r w:rsidR="003A69DA">
        <w:t>non-family</w:t>
      </w:r>
      <w:r w:rsidR="0034420B">
        <w:t xml:space="preserve"> ver</w:t>
      </w:r>
      <w:r w:rsidR="00C2631F">
        <w:t>sion, resulting in a total of 6</w:t>
      </w:r>
      <w:r w:rsidR="0034420B">
        <w:t xml:space="preserve"> articles. </w:t>
      </w:r>
      <w:r w:rsidR="007F6A95" w:rsidRPr="007F6A95">
        <w:t xml:space="preserve">Each article contains a title, a byline, a photo of the role model with caption, </w:t>
      </w:r>
      <w:r w:rsidR="007F6A95" w:rsidRPr="007F6A95">
        <w:lastRenderedPageBreak/>
        <w:t>and two pull-out quotes.</w:t>
      </w:r>
      <w:r w:rsidR="007F6A95">
        <w:t xml:space="preserve"> </w:t>
      </w:r>
      <w:r w:rsidR="0034420B">
        <w:t xml:space="preserve">The name, age, as well as education and career details of </w:t>
      </w:r>
      <w:r w:rsidR="00725B27">
        <w:t>each</w:t>
      </w:r>
      <w:r w:rsidR="0034420B">
        <w:t xml:space="preserve"> role model were kept consistent across versions</w:t>
      </w:r>
      <w:r w:rsidR="007F6A95">
        <w:t>, as were t</w:t>
      </w:r>
      <w:r w:rsidR="0034420B">
        <w:t xml:space="preserve">he faces in the photos </w:t>
      </w:r>
      <w:r w:rsidR="007F6A95">
        <w:t>using P</w:t>
      </w:r>
      <w:r w:rsidR="0034420B">
        <w:t>hotoshop.</w:t>
      </w:r>
      <w:r w:rsidR="00725B27">
        <w:t xml:space="preserve"> </w:t>
      </w:r>
    </w:p>
    <w:p w14:paraId="0B754F10" w14:textId="634C46C7" w:rsidR="0034420B" w:rsidRDefault="0034420B" w:rsidP="00E70436">
      <w:pPr>
        <w:widowControl w:val="0"/>
      </w:pPr>
      <w:r>
        <w:tab/>
      </w:r>
      <w:r w:rsidR="003A69DA">
        <w:t>Family</w:t>
      </w:r>
      <w:r w:rsidR="00662E0D">
        <w:t xml:space="preserve"> r</w:t>
      </w:r>
      <w:r w:rsidR="00725B27">
        <w:t>ole models</w:t>
      </w:r>
      <w:r>
        <w:t xml:space="preserve"> </w:t>
      </w:r>
      <w:r w:rsidR="00725B27">
        <w:t xml:space="preserve">were </w:t>
      </w:r>
      <w:r>
        <w:t>portrayed</w:t>
      </w:r>
      <w:r w:rsidR="00725B27">
        <w:t xml:space="preserve"> in both career and family roles</w:t>
      </w:r>
      <w:r>
        <w:t>. Several para</w:t>
      </w:r>
      <w:r w:rsidR="00725B27">
        <w:t xml:space="preserve">graphs in the body of text </w:t>
      </w:r>
      <w:r>
        <w:t>mentions of the role model’s marriage, her husband, and her children or plan to have children</w:t>
      </w:r>
      <w:r w:rsidR="00725B27">
        <w:t xml:space="preserve"> in the future</w:t>
      </w:r>
      <w:r>
        <w:t xml:space="preserve">. In the </w:t>
      </w:r>
      <w:r w:rsidR="003A69DA">
        <w:t>non-family</w:t>
      </w:r>
      <w:r w:rsidR="00AC55C7">
        <w:t xml:space="preserve"> role model</w:t>
      </w:r>
      <w:r w:rsidR="00662E0D">
        <w:t xml:space="preserve"> version</w:t>
      </w:r>
      <w:r>
        <w:t xml:space="preserve">, </w:t>
      </w:r>
      <w:r w:rsidR="007C0632" w:rsidRPr="007C0632">
        <w:t>the body of text instead included details of her personal life, such as friends and hobbies, and the lack of family life was explicitly mentioned.</w:t>
      </w:r>
      <w:r w:rsidR="007F6A95">
        <w:t xml:space="preserve"> T</w:t>
      </w:r>
      <w:r w:rsidR="007C0632">
        <w:t xml:space="preserve">he </w:t>
      </w:r>
      <w:r w:rsidR="007F6A95">
        <w:t xml:space="preserve">non-family </w:t>
      </w:r>
      <w:r w:rsidR="007C0632">
        <w:t xml:space="preserve">role models were portrayed as having an active, happy social life </w:t>
      </w:r>
      <w:r w:rsidR="00725B27">
        <w:t>to ensure the difference between versions is the presence or absence of the family role and not the perceived time requirement of the career</w:t>
      </w:r>
      <w:r w:rsidR="00AC55C7">
        <w:t xml:space="preserve"> or the desirableness of the role model’s life</w:t>
      </w:r>
      <w:r w:rsidR="007C0632">
        <w:t>.</w:t>
      </w:r>
      <w:r w:rsidR="00725B27">
        <w:t xml:space="preserve"> </w:t>
      </w:r>
      <w:r>
        <w:t>The photo in the</w:t>
      </w:r>
      <w:r w:rsidR="00725B27">
        <w:t xml:space="preserve"> </w:t>
      </w:r>
      <w:r w:rsidR="003A69DA">
        <w:t>family</w:t>
      </w:r>
      <w:r w:rsidR="00662E0D">
        <w:t xml:space="preserve"> </w:t>
      </w:r>
      <w:r w:rsidR="00725B27">
        <w:t>version</w:t>
      </w:r>
      <w:r>
        <w:t xml:space="preserve"> </w:t>
      </w:r>
      <w:r w:rsidR="00725B27">
        <w:t>showed</w:t>
      </w:r>
      <w:r>
        <w:t xml:space="preserve"> the role model in a family setting – in a kitchen or living room</w:t>
      </w:r>
      <w:r w:rsidR="00725B27">
        <w:t xml:space="preserve"> with her husband or children, </w:t>
      </w:r>
      <w:r>
        <w:t xml:space="preserve">while the photo in the </w:t>
      </w:r>
      <w:r w:rsidR="003A69DA">
        <w:t>non-family</w:t>
      </w:r>
      <w:r w:rsidR="00662E0D">
        <w:t xml:space="preserve"> </w:t>
      </w:r>
      <w:r w:rsidR="00725B27">
        <w:t>version</w:t>
      </w:r>
      <w:r>
        <w:t xml:space="preserve"> </w:t>
      </w:r>
      <w:r w:rsidR="00725B27">
        <w:t>showed</w:t>
      </w:r>
      <w:r>
        <w:t xml:space="preserve"> the role model in a professional setting – in a lab or office, alone or with colleagues. The caption served to describe the photo and underline the difference between the two </w:t>
      </w:r>
      <w:r w:rsidR="00725B27">
        <w:t>versions</w:t>
      </w:r>
      <w:r w:rsidR="00C2631F">
        <w:t xml:space="preserve"> (see </w:t>
      </w:r>
      <w:r w:rsidR="007F6A95">
        <w:t>the online appendix</w:t>
      </w:r>
      <w:r w:rsidR="008F322C">
        <w:t xml:space="preserve"> </w:t>
      </w:r>
      <w:r w:rsidR="00C2631F">
        <w:t xml:space="preserve">for a pair of </w:t>
      </w:r>
      <w:r w:rsidR="007F6A95">
        <w:t xml:space="preserve">stimuli </w:t>
      </w:r>
      <w:r w:rsidR="00C2631F">
        <w:t>articles).</w:t>
      </w:r>
    </w:p>
    <w:p w14:paraId="2E66DF8C" w14:textId="00443D34" w:rsidR="00C2631F" w:rsidRDefault="00C2631F" w:rsidP="00E70436">
      <w:pPr>
        <w:widowControl w:val="0"/>
      </w:pPr>
      <w:r>
        <w:tab/>
        <w:t>The articles were pretested with a sample (</w:t>
      </w:r>
      <w:r w:rsidRPr="00754729">
        <w:rPr>
          <w:i/>
        </w:rPr>
        <w:t>N</w:t>
      </w:r>
      <w:r>
        <w:t xml:space="preserve"> = 135) of undergraduate students. This sample is separate from the sample used to pretest the attainability messages. </w:t>
      </w:r>
      <w:r w:rsidR="007C0632">
        <w:t xml:space="preserve">Due to a limited number of </w:t>
      </w:r>
      <w:r w:rsidR="0029695C">
        <w:t xml:space="preserve">participants in the target population to which we have access, both stimuli pretests were conducted using samples of undergraduate students not in veterinary medicine. </w:t>
      </w:r>
      <w:r>
        <w:t xml:space="preserve">Participants were randomly assigned </w:t>
      </w:r>
      <w:r w:rsidRPr="00C2631F">
        <w:t xml:space="preserve">read one of the </w:t>
      </w:r>
      <w:r>
        <w:t>two</w:t>
      </w:r>
      <w:r w:rsidRPr="00C2631F">
        <w:t xml:space="preserve"> versions of one article, asked to evaluate it, and were then randomly assigned to one of the </w:t>
      </w:r>
      <w:r>
        <w:t>two</w:t>
      </w:r>
      <w:r w:rsidRPr="00C2631F">
        <w:t xml:space="preserve"> versions of the next article. They did this for all </w:t>
      </w:r>
      <w:r>
        <w:t>three</w:t>
      </w:r>
      <w:r w:rsidRPr="00C2631F">
        <w:t xml:space="preserve"> role models. </w:t>
      </w:r>
      <w:r>
        <w:t xml:space="preserve">Participants were then asked to indicate how enjoyable, interesting, informative, and realistic the article was, as well as the extent to which the role model’s family life was mentioned in the article on a scale of 1-7. For all three role models, results </w:t>
      </w:r>
      <w:r w:rsidR="00A44727">
        <w:t xml:space="preserve">from three </w:t>
      </w:r>
      <w:r w:rsidR="00A44727">
        <w:lastRenderedPageBreak/>
        <w:t xml:space="preserve">MANOVA tests </w:t>
      </w:r>
      <w:r>
        <w:t xml:space="preserve">showed no significant differences between the two articles in each pair in </w:t>
      </w:r>
      <w:r w:rsidRPr="00680944">
        <w:t xml:space="preserve">how enjoyable, interesting, informative, and </w:t>
      </w:r>
      <w:r>
        <w:t>realistic</w:t>
      </w:r>
      <w:r w:rsidRPr="00680944">
        <w:t xml:space="preserve"> </w:t>
      </w:r>
      <w:r>
        <w:t>th</w:t>
      </w:r>
      <w:r w:rsidR="00981A86">
        <w:t>ey were. Mention of the role model’s family life was clearly distinguished between the high and low congruity versions for each pair of articles (see Table 1 for means and standard deviations for all three pairs of articles).</w:t>
      </w:r>
    </w:p>
    <w:p w14:paraId="3B9AC352" w14:textId="77777777" w:rsidR="00AC55C7" w:rsidRDefault="00AC55C7" w:rsidP="00E70436">
      <w:pPr>
        <w:widowControl w:val="0"/>
      </w:pPr>
      <w:r>
        <w:tab/>
        <w:t xml:space="preserve">During the main study, participants spent an average of </w:t>
      </w:r>
      <w:r w:rsidRPr="00EB22C3">
        <w:rPr>
          <w:i/>
        </w:rPr>
        <w:t>M</w:t>
      </w:r>
      <w:r>
        <w:t xml:space="preserve"> = 144.64</w:t>
      </w:r>
      <w:r w:rsidR="003920A8">
        <w:t>s</w:t>
      </w:r>
      <w:r>
        <w:t xml:space="preserve"> (</w:t>
      </w:r>
      <w:r w:rsidRPr="00EB22C3">
        <w:rPr>
          <w:i/>
        </w:rPr>
        <w:t>SD</w:t>
      </w:r>
      <w:r>
        <w:t xml:space="preserve"> = 84.59) on a </w:t>
      </w:r>
      <w:r w:rsidR="003A69DA">
        <w:t>family</w:t>
      </w:r>
      <w:r>
        <w:t xml:space="preserve"> role model article, and </w:t>
      </w:r>
      <w:r w:rsidRPr="00EB22C3">
        <w:rPr>
          <w:i/>
        </w:rPr>
        <w:t>M</w:t>
      </w:r>
      <w:r>
        <w:t xml:space="preserve"> = 180.60</w:t>
      </w:r>
      <w:r w:rsidR="003920A8">
        <w:t>s</w:t>
      </w:r>
      <w:r>
        <w:t xml:space="preserve"> (</w:t>
      </w:r>
      <w:r w:rsidRPr="00EB22C3">
        <w:rPr>
          <w:i/>
        </w:rPr>
        <w:t>SD</w:t>
      </w:r>
      <w:r>
        <w:t xml:space="preserve"> = 140.49) a </w:t>
      </w:r>
      <w:r w:rsidR="003A69DA">
        <w:t>non-family</w:t>
      </w:r>
      <w:r>
        <w:t xml:space="preserve"> role model article.</w:t>
      </w:r>
    </w:p>
    <w:p w14:paraId="3B43E2E0" w14:textId="77777777" w:rsidR="009B74F2" w:rsidRDefault="009B74F2" w:rsidP="00E70436">
      <w:pPr>
        <w:pStyle w:val="Heading2"/>
        <w:keepNext w:val="0"/>
        <w:keepLines w:val="0"/>
        <w:widowControl w:val="0"/>
      </w:pPr>
      <w:r w:rsidRPr="009B74F2">
        <w:t>Measures</w:t>
      </w:r>
    </w:p>
    <w:p w14:paraId="36638D28" w14:textId="14AFC067" w:rsidR="009B74F2" w:rsidRPr="00DF247B" w:rsidRDefault="009B74F2" w:rsidP="00E70436">
      <w:pPr>
        <w:widowControl w:val="0"/>
      </w:pPr>
      <w:r>
        <w:tab/>
      </w:r>
      <w:r w:rsidRPr="000C1335">
        <w:rPr>
          <w:b/>
        </w:rPr>
        <w:t xml:space="preserve">Interest in the </w:t>
      </w:r>
      <w:r w:rsidR="00EA2A30">
        <w:rPr>
          <w:b/>
        </w:rPr>
        <w:t>c</w:t>
      </w:r>
      <w:r w:rsidRPr="000C1335">
        <w:rPr>
          <w:b/>
        </w:rPr>
        <w:t>ounter-</w:t>
      </w:r>
      <w:r w:rsidR="00EA2A30">
        <w:rPr>
          <w:b/>
        </w:rPr>
        <w:t>s</w:t>
      </w:r>
      <w:r w:rsidRPr="000C1335">
        <w:rPr>
          <w:b/>
        </w:rPr>
        <w:t xml:space="preserve">tereotypical </w:t>
      </w:r>
      <w:r w:rsidR="00EA2A30">
        <w:rPr>
          <w:b/>
        </w:rPr>
        <w:t>c</w:t>
      </w:r>
      <w:r w:rsidRPr="000C1335">
        <w:rPr>
          <w:b/>
        </w:rPr>
        <w:t>areer.</w:t>
      </w:r>
      <w:r w:rsidR="00DF247B">
        <w:t xml:space="preserve"> </w:t>
      </w:r>
      <w:r w:rsidR="003A54FF">
        <w:t xml:space="preserve">Interest in the counter-stereotypical career was measured with two items, </w:t>
      </w:r>
      <w:r w:rsidR="00EB22C3">
        <w:t xml:space="preserve">how </w:t>
      </w:r>
      <w:r w:rsidR="00EB22C3" w:rsidRPr="00436638">
        <w:rPr>
          <w:i/>
        </w:rPr>
        <w:t>interested</w:t>
      </w:r>
      <w:r w:rsidR="003A54FF">
        <w:t xml:space="preserve"> participants were in pursuing and</w:t>
      </w:r>
      <w:r w:rsidR="00EB22C3">
        <w:t xml:space="preserve"> how </w:t>
      </w:r>
      <w:r w:rsidR="00EB22C3" w:rsidRPr="00436638">
        <w:rPr>
          <w:i/>
        </w:rPr>
        <w:t>likely</w:t>
      </w:r>
      <w:r w:rsidR="00EB22C3">
        <w:t xml:space="preserve"> they </w:t>
      </w:r>
      <w:r w:rsidR="009F38BF">
        <w:t xml:space="preserve">were </w:t>
      </w:r>
      <w:r w:rsidR="00EB22C3">
        <w:t xml:space="preserve">to pursue a research career in the field of veterinary medicine </w:t>
      </w:r>
      <w:r w:rsidR="009F38BF">
        <w:t>(</w:t>
      </w:r>
      <w:r w:rsidR="00FA18AD">
        <w:t xml:space="preserve">both </w:t>
      </w:r>
      <w:r w:rsidR="00EB22C3">
        <w:t>on a slider scale from 1</w:t>
      </w:r>
      <w:r w:rsidR="007F6A95">
        <w:t>-</w:t>
      </w:r>
      <w:r w:rsidR="00EB22C3">
        <w:t>Not at all to 100</w:t>
      </w:r>
      <w:r w:rsidR="007F6A95">
        <w:t>-</w:t>
      </w:r>
      <w:r w:rsidR="00EB22C3">
        <w:t>Extremely</w:t>
      </w:r>
      <w:r w:rsidR="009F38BF">
        <w:t>)</w:t>
      </w:r>
      <w:r w:rsidR="00EB22C3">
        <w:t>.</w:t>
      </w:r>
      <w:r w:rsidR="009F38BF">
        <w:t xml:space="preserve"> The scores were averaged across </w:t>
      </w:r>
      <w:r w:rsidR="003A54FF">
        <w:t>these two items</w:t>
      </w:r>
      <w:r w:rsidR="009F38BF">
        <w:t>.</w:t>
      </w:r>
      <w:r w:rsidR="00EB22C3">
        <w:t xml:space="preserve"> </w:t>
      </w:r>
      <w:r w:rsidR="00FA18AD">
        <w:t xml:space="preserve">Interest in the counter-stereotypical career was measured at both pretest (part 1) and posttest (part 2) of the study. </w:t>
      </w:r>
      <w:r w:rsidR="00EB22C3">
        <w:t xml:space="preserve">Participants reported an average </w:t>
      </w:r>
      <w:bookmarkStart w:id="5" w:name="_Hlk496214383"/>
      <w:r w:rsidR="00EB22C3" w:rsidRPr="00EB22C3">
        <w:rPr>
          <w:i/>
        </w:rPr>
        <w:t>M</w:t>
      </w:r>
      <w:r w:rsidR="00EB22C3">
        <w:t xml:space="preserve"> = 32.78 (</w:t>
      </w:r>
      <w:r w:rsidR="00EB22C3" w:rsidRPr="00EB22C3">
        <w:rPr>
          <w:i/>
        </w:rPr>
        <w:t>SD</w:t>
      </w:r>
      <w:r w:rsidR="00EB22C3">
        <w:t xml:space="preserve"> = 23.87</w:t>
      </w:r>
      <w:bookmarkEnd w:id="5"/>
      <w:r w:rsidR="00EB22C3">
        <w:t xml:space="preserve">, </w:t>
      </w:r>
      <w:r w:rsidR="005D7291">
        <w:t xml:space="preserve">Spearman’s </w:t>
      </w:r>
      <w:r w:rsidR="005D7291">
        <w:rPr>
          <w:rFonts w:cs="Times New Roman"/>
          <w:i/>
        </w:rPr>
        <w:t>r</w:t>
      </w:r>
      <w:r w:rsidR="00EB22C3">
        <w:t xml:space="preserve"> = .</w:t>
      </w:r>
      <w:r w:rsidR="000F31DF">
        <w:t>88</w:t>
      </w:r>
      <w:r w:rsidR="00EB22C3">
        <w:t xml:space="preserve">) at pretest, and </w:t>
      </w:r>
      <w:r w:rsidR="00EB22C3" w:rsidRPr="00EB22C3">
        <w:rPr>
          <w:i/>
        </w:rPr>
        <w:t>M</w:t>
      </w:r>
      <w:r w:rsidR="00EB22C3">
        <w:t xml:space="preserve"> = 35.52 (</w:t>
      </w:r>
      <w:r w:rsidR="00EB22C3" w:rsidRPr="00EB22C3">
        <w:rPr>
          <w:i/>
        </w:rPr>
        <w:t>SD</w:t>
      </w:r>
      <w:r w:rsidR="00EB22C3">
        <w:t xml:space="preserve"> = 31.29, </w:t>
      </w:r>
      <w:r w:rsidR="000F31DF">
        <w:t>Spearman’s</w:t>
      </w:r>
      <w:r w:rsidR="000F31DF" w:rsidRPr="00EB22C3">
        <w:t xml:space="preserve"> </w:t>
      </w:r>
      <w:r w:rsidR="000F31DF">
        <w:rPr>
          <w:i/>
        </w:rPr>
        <w:t>r</w:t>
      </w:r>
      <w:r w:rsidR="00EB22C3">
        <w:t xml:space="preserve"> = .9</w:t>
      </w:r>
      <w:r w:rsidR="000F31DF">
        <w:t>2</w:t>
      </w:r>
      <w:r w:rsidR="00EB22C3">
        <w:t>) at posttest.</w:t>
      </w:r>
      <w:r w:rsidR="004B25A0">
        <w:t xml:space="preserve"> Pretest interest in the counter-stereotypical career was included as a covariate in all analyses.</w:t>
      </w:r>
    </w:p>
    <w:p w14:paraId="242B12F2" w14:textId="245683D9" w:rsidR="00AA2A4C" w:rsidRPr="00EB22C3" w:rsidRDefault="00AA2A4C" w:rsidP="00E70436">
      <w:pPr>
        <w:widowControl w:val="0"/>
      </w:pPr>
      <w:r w:rsidRPr="000C1335">
        <w:rPr>
          <w:b/>
        </w:rPr>
        <w:tab/>
        <w:t>Self-</w:t>
      </w:r>
      <w:r>
        <w:rPr>
          <w:b/>
        </w:rPr>
        <w:t>i</w:t>
      </w:r>
      <w:r w:rsidRPr="000C1335">
        <w:rPr>
          <w:b/>
        </w:rPr>
        <w:t>nspiration.</w:t>
      </w:r>
      <w:r>
        <w:rPr>
          <w:b/>
        </w:rPr>
        <w:t xml:space="preserve"> </w:t>
      </w:r>
      <w:r w:rsidRPr="00400035">
        <w:t>To capture self-inspiration, items from the overall role model perception ratings were selected.</w:t>
      </w:r>
      <w:r>
        <w:rPr>
          <w:b/>
        </w:rPr>
        <w:t xml:space="preserve"> </w:t>
      </w:r>
      <w:r>
        <w:t xml:space="preserve">Participants rated statements such as “I feel </w:t>
      </w:r>
      <w:r w:rsidRPr="00D147B2">
        <w:rPr>
          <w:i/>
        </w:rPr>
        <w:t>connected</w:t>
      </w:r>
      <w:r>
        <w:t xml:space="preserve"> to [role model]” to capture perceptions of the role models, on a scale of 1-</w:t>
      </w:r>
      <w:r w:rsidR="00400035">
        <w:t>Strong disagree to 7-Strongly agree</w:t>
      </w:r>
      <w:r>
        <w:t xml:space="preserve">. The specific items assessed how </w:t>
      </w:r>
      <w:r w:rsidRPr="00510784">
        <w:rPr>
          <w:i/>
        </w:rPr>
        <w:t>connected</w:t>
      </w:r>
      <w:r>
        <w:rPr>
          <w:i/>
        </w:rPr>
        <w:t xml:space="preserve"> to</w:t>
      </w:r>
      <w:r>
        <w:t xml:space="preserve">, </w:t>
      </w:r>
      <w:proofErr w:type="gramStart"/>
      <w:r w:rsidRPr="00510784">
        <w:rPr>
          <w:i/>
        </w:rPr>
        <w:t>similar</w:t>
      </w:r>
      <w:r>
        <w:t xml:space="preserve"> </w:t>
      </w:r>
      <w:r w:rsidRPr="00510784">
        <w:rPr>
          <w:i/>
        </w:rPr>
        <w:t>to</w:t>
      </w:r>
      <w:proofErr w:type="gramEnd"/>
      <w:r>
        <w:t xml:space="preserve">, and </w:t>
      </w:r>
      <w:r w:rsidRPr="00510784">
        <w:rPr>
          <w:i/>
        </w:rPr>
        <w:t>different</w:t>
      </w:r>
      <w:r>
        <w:t xml:space="preserve"> </w:t>
      </w:r>
      <w:r w:rsidRPr="00510784">
        <w:rPr>
          <w:i/>
        </w:rPr>
        <w:t>from</w:t>
      </w:r>
      <w:r>
        <w:rPr>
          <w:i/>
        </w:rPr>
        <w:t xml:space="preserve"> </w:t>
      </w:r>
      <w:r w:rsidRPr="00510784">
        <w:t>the role models the participants felt, as well as how</w:t>
      </w:r>
      <w:r>
        <w:t xml:space="preserve"> </w:t>
      </w:r>
      <w:r w:rsidRPr="00510784">
        <w:rPr>
          <w:i/>
        </w:rPr>
        <w:t>likable</w:t>
      </w:r>
      <w:r>
        <w:t xml:space="preserve">, </w:t>
      </w:r>
      <w:r w:rsidRPr="00510784">
        <w:rPr>
          <w:i/>
        </w:rPr>
        <w:t>competent</w:t>
      </w:r>
      <w:r>
        <w:t xml:space="preserve">, and </w:t>
      </w:r>
      <w:r w:rsidRPr="00510784">
        <w:rPr>
          <w:i/>
        </w:rPr>
        <w:t>desirable</w:t>
      </w:r>
      <w:r>
        <w:t xml:space="preserve"> the role models were perceived to be. </w:t>
      </w:r>
      <w:r w:rsidRPr="000848EB">
        <w:t xml:space="preserve">The three values for each item across the three articles were averaged to create </w:t>
      </w:r>
      <w:r>
        <w:t>the overall</w:t>
      </w:r>
      <w:r w:rsidRPr="000848EB">
        <w:t xml:space="preserve"> scores respectively for each participant.</w:t>
      </w:r>
      <w:r>
        <w:t xml:space="preserve"> A principal component analysis, wherein factors </w:t>
      </w:r>
      <w:proofErr w:type="gramStart"/>
      <w:r>
        <w:t>were allowed to</w:t>
      </w:r>
      <w:proofErr w:type="gramEnd"/>
      <w:r>
        <w:t xml:space="preserve"> be correlated, was run on these overall scores (scores for </w:t>
      </w:r>
      <w:r>
        <w:rPr>
          <w:i/>
        </w:rPr>
        <w:lastRenderedPageBreak/>
        <w:t>different</w:t>
      </w:r>
      <w:r>
        <w:t xml:space="preserve"> were reverse-coded)</w:t>
      </w:r>
      <w:r w:rsidR="0098237E">
        <w:t xml:space="preserve">, which yielded two factors that explained </w:t>
      </w:r>
      <w:r w:rsidR="00117F08">
        <w:t>51.02</w:t>
      </w:r>
      <w:r w:rsidR="0098237E">
        <w:t xml:space="preserve">% and </w:t>
      </w:r>
      <w:r w:rsidR="00117F08">
        <w:t>22.54</w:t>
      </w:r>
      <w:r w:rsidR="0098237E">
        <w:t>% of the variance, respectively</w:t>
      </w:r>
      <w:r>
        <w:t xml:space="preserve">. </w:t>
      </w:r>
      <w:r w:rsidR="00117F08">
        <w:t>T</w:t>
      </w:r>
      <w:r>
        <w:t>wo items that loaded 0.7 or higher on the first factor and 0.4 or lower on the second factor in absolute value</w:t>
      </w:r>
      <w:r w:rsidR="00117F08">
        <w:t xml:space="preserve"> were</w:t>
      </w:r>
      <w:r>
        <w:t xml:space="preserve"> selected for the measure (see Table 2 for the factor loadings for all items). Thus, two items, ‘I feel </w:t>
      </w:r>
      <w:r w:rsidRPr="00D147B2">
        <w:rPr>
          <w:i/>
        </w:rPr>
        <w:t>connected</w:t>
      </w:r>
      <w:r>
        <w:t xml:space="preserve"> to [role model]’ and ‘[Role model] was </w:t>
      </w:r>
      <w:r w:rsidRPr="00D147B2">
        <w:rPr>
          <w:i/>
        </w:rPr>
        <w:t>inspiring</w:t>
      </w:r>
      <w:r>
        <w:t xml:space="preserve">,’ were averaged to create the self-inspiration score. On average, participants reported a mean </w:t>
      </w:r>
      <w:r w:rsidRPr="00EB22C3">
        <w:rPr>
          <w:i/>
        </w:rPr>
        <w:t>M</w:t>
      </w:r>
      <w:r>
        <w:t xml:space="preserve"> = 4.81 (</w:t>
      </w:r>
      <w:r w:rsidRPr="00EB22C3">
        <w:rPr>
          <w:i/>
        </w:rPr>
        <w:t>SD</w:t>
      </w:r>
      <w:r>
        <w:t xml:space="preserve"> = .95, Spearman’s </w:t>
      </w:r>
      <w:r w:rsidRPr="00510784">
        <w:rPr>
          <w:i/>
        </w:rPr>
        <w:t>r</w:t>
      </w:r>
      <w:r>
        <w:t xml:space="preserve"> = .70). </w:t>
      </w:r>
    </w:p>
    <w:p w14:paraId="6420032A" w14:textId="3574FB8C" w:rsidR="009B74F2" w:rsidRDefault="009B74F2" w:rsidP="00E70436">
      <w:pPr>
        <w:widowControl w:val="0"/>
      </w:pPr>
      <w:r w:rsidRPr="000C1335">
        <w:rPr>
          <w:b/>
        </w:rPr>
        <w:tab/>
        <w:t xml:space="preserve">Family </w:t>
      </w:r>
      <w:r w:rsidR="00EA2A30">
        <w:rPr>
          <w:b/>
        </w:rPr>
        <w:t>r</w:t>
      </w:r>
      <w:r w:rsidRPr="000C1335">
        <w:rPr>
          <w:b/>
        </w:rPr>
        <w:t xml:space="preserve">ole </w:t>
      </w:r>
      <w:r w:rsidR="00EA2A30">
        <w:rPr>
          <w:b/>
        </w:rPr>
        <w:t>s</w:t>
      </w:r>
      <w:r w:rsidRPr="000C1335">
        <w:rPr>
          <w:b/>
        </w:rPr>
        <w:t>alience.</w:t>
      </w:r>
      <w:r w:rsidR="00B066E4">
        <w:rPr>
          <w:b/>
        </w:rPr>
        <w:t xml:space="preserve"> </w:t>
      </w:r>
      <w:r w:rsidR="00B066E4">
        <w:t>Family role salience was measured with the modified</w:t>
      </w:r>
      <w:r w:rsidR="000D6FB9">
        <w:t xml:space="preserve"> 15-item</w:t>
      </w:r>
      <w:r w:rsidR="00B066E4">
        <w:t xml:space="preserve"> Life Role Salience scale (</w:t>
      </w:r>
      <w:proofErr w:type="spellStart"/>
      <w:r w:rsidR="00B066E4" w:rsidRPr="00B066E4">
        <w:t>Amatea</w:t>
      </w:r>
      <w:proofErr w:type="spellEnd"/>
      <w:r w:rsidR="00B066E4" w:rsidRPr="00B066E4">
        <w:t xml:space="preserve">, Cross, Clark, &amp; Bobby, 1986; </w:t>
      </w:r>
      <w:r w:rsidR="00913B20" w:rsidRPr="00E70436">
        <w:t>Knobloch-</w:t>
      </w:r>
      <w:proofErr w:type="spellStart"/>
      <w:r w:rsidR="00913B20" w:rsidRPr="00E70436">
        <w:t>Westerick</w:t>
      </w:r>
      <w:proofErr w:type="spellEnd"/>
      <w:r w:rsidR="00913B20" w:rsidRPr="00E70436">
        <w:t xml:space="preserve"> et al., 2016</w:t>
      </w:r>
      <w:r w:rsidR="00B066E4">
        <w:t>)</w:t>
      </w:r>
      <w:r w:rsidR="000D6FB9">
        <w:t xml:space="preserve"> on a scale of 1-100</w:t>
      </w:r>
      <w:r w:rsidR="00B066E4">
        <w:t xml:space="preserve">. The scale measured the personal importance of and expected commitment to three main life domains: </w:t>
      </w:r>
      <w:r w:rsidR="000D6FB9">
        <w:t xml:space="preserve">romantic partner, family/parent, and career. On average, participants reported a mean </w:t>
      </w:r>
      <w:r w:rsidR="000D6FB9" w:rsidRPr="00EB22C3">
        <w:rPr>
          <w:i/>
        </w:rPr>
        <w:t>M</w:t>
      </w:r>
      <w:r w:rsidR="000D6FB9">
        <w:t xml:space="preserve"> = 50.89 (</w:t>
      </w:r>
      <w:r w:rsidR="000D6FB9" w:rsidRPr="00EB22C3">
        <w:rPr>
          <w:i/>
        </w:rPr>
        <w:t>SD</w:t>
      </w:r>
      <w:r w:rsidR="000D6FB9">
        <w:t xml:space="preserve"> = 31.19, </w:t>
      </w:r>
      <w:r w:rsidR="000D6FB9" w:rsidRPr="00EB22C3">
        <w:t>Cronbach</w:t>
      </w:r>
      <w:r w:rsidR="000D6FB9">
        <w:t>’s</w:t>
      </w:r>
      <w:r w:rsidR="000D6FB9" w:rsidRPr="00EB22C3">
        <w:t xml:space="preserve"> </w:t>
      </w:r>
      <w:r w:rsidR="000D6FB9" w:rsidRPr="00EB22C3">
        <w:rPr>
          <w:i/>
        </w:rPr>
        <w:t>α</w:t>
      </w:r>
      <w:r w:rsidR="000D6FB9">
        <w:t xml:space="preserve"> = .94) for their level of family role salience.</w:t>
      </w:r>
      <w:r w:rsidR="002F2B57">
        <w:t xml:space="preserve"> See Table </w:t>
      </w:r>
      <w:r w:rsidR="0077669B">
        <w:t>3</w:t>
      </w:r>
      <w:r w:rsidR="00BC5CF3">
        <w:t xml:space="preserve"> for the bivariate correlation coefficients of all the variables measured.</w:t>
      </w:r>
    </w:p>
    <w:p w14:paraId="3B265EB7" w14:textId="0F54FFB6" w:rsidR="007A1896" w:rsidRDefault="007A1896" w:rsidP="00E70436">
      <w:pPr>
        <w:widowControl w:val="0"/>
      </w:pPr>
      <w:r>
        <w:tab/>
      </w:r>
      <w:r w:rsidRPr="007A1896">
        <w:rPr>
          <w:b/>
        </w:rPr>
        <w:t>GPA</w:t>
      </w:r>
      <w:r>
        <w:t xml:space="preserve">. </w:t>
      </w:r>
      <w:r w:rsidR="000A3A5B">
        <w:t xml:space="preserve">Participants were asked to self-report their GPA at time 1 to be included as a covariate. On average, </w:t>
      </w:r>
      <w:r w:rsidR="000A3A5B" w:rsidRPr="000A3A5B">
        <w:t xml:space="preserve">participants </w:t>
      </w:r>
      <w:r w:rsidR="000A3A5B">
        <w:t xml:space="preserve">reported a mean </w:t>
      </w:r>
      <w:r w:rsidR="000A3A5B" w:rsidRPr="00EB22C3">
        <w:rPr>
          <w:i/>
        </w:rPr>
        <w:t>M</w:t>
      </w:r>
      <w:r w:rsidR="000A3A5B">
        <w:t xml:space="preserve"> = 3.55 (</w:t>
      </w:r>
      <w:r w:rsidR="000A3A5B" w:rsidRPr="00EB22C3">
        <w:rPr>
          <w:i/>
        </w:rPr>
        <w:t>SD</w:t>
      </w:r>
      <w:r w:rsidR="000A3A5B">
        <w:t xml:space="preserve"> = .3</w:t>
      </w:r>
      <w:r w:rsidR="00BC42C5">
        <w:t>te</w:t>
      </w:r>
      <w:r w:rsidR="000A3A5B">
        <w:t>6).</w:t>
      </w:r>
    </w:p>
    <w:p w14:paraId="4A0C6101" w14:textId="77777777" w:rsidR="000D6FB9" w:rsidRDefault="000D6FB9" w:rsidP="00E70436">
      <w:pPr>
        <w:pStyle w:val="Heading1"/>
        <w:widowControl w:val="0"/>
        <w:spacing w:beforeAutospacing="0" w:afterAutospacing="0" w:line="480" w:lineRule="auto"/>
      </w:pPr>
      <w:r>
        <w:t>Results</w:t>
      </w:r>
    </w:p>
    <w:p w14:paraId="57F24AFD" w14:textId="77777777" w:rsidR="000D6FB9" w:rsidRDefault="000D6FB9" w:rsidP="00E70436">
      <w:pPr>
        <w:widowControl w:val="0"/>
      </w:pPr>
      <w:r>
        <w:rPr>
          <w:b/>
        </w:rPr>
        <w:tab/>
      </w:r>
      <w:r>
        <w:t xml:space="preserve">Hypothesis 1 </w:t>
      </w:r>
      <w:r w:rsidR="00E0565D">
        <w:t>proposed</w:t>
      </w:r>
      <w:r>
        <w:t xml:space="preserve"> that e</w:t>
      </w:r>
      <w:r w:rsidRPr="000D6FB9">
        <w:t xml:space="preserve">xposure to the high attainability message will significantly increase women’s self-inspiration </w:t>
      </w:r>
      <w:r w:rsidR="0029558A">
        <w:t xml:space="preserve">in response </w:t>
      </w:r>
      <w:r w:rsidRPr="000D6FB9">
        <w:t xml:space="preserve">to the female role models (both </w:t>
      </w:r>
      <w:r w:rsidR="003A69DA">
        <w:t>family</w:t>
      </w:r>
      <w:r w:rsidR="00662E0D">
        <w:t xml:space="preserve"> and </w:t>
      </w:r>
      <w:r w:rsidR="003A69DA">
        <w:t>non-family</w:t>
      </w:r>
      <w:r w:rsidRPr="000D6FB9">
        <w:t>) compared to exposure to the low attainability message</w:t>
      </w:r>
      <w:r w:rsidR="007A1BBA">
        <w:t>; and RQ1 asked if</w:t>
      </w:r>
      <w:r w:rsidR="007A1BBA" w:rsidRPr="007A1BBA">
        <w:t xml:space="preserve"> the high attainability message </w:t>
      </w:r>
      <w:r w:rsidR="007A1BBA">
        <w:t>affects participants differently</w:t>
      </w:r>
      <w:r w:rsidR="007A1BBA" w:rsidRPr="007A1BBA">
        <w:t xml:space="preserve"> depending on </w:t>
      </w:r>
      <w:r w:rsidR="007A1BBA">
        <w:t xml:space="preserve">whether they read articles featuring </w:t>
      </w:r>
      <w:r w:rsidR="003A69DA">
        <w:t>family</w:t>
      </w:r>
      <w:r w:rsidR="007A1BBA">
        <w:t xml:space="preserve"> or </w:t>
      </w:r>
      <w:r w:rsidR="003A69DA">
        <w:t>non-family</w:t>
      </w:r>
      <w:r w:rsidR="007A1BBA">
        <w:t xml:space="preserve"> role models</w:t>
      </w:r>
      <w:r w:rsidRPr="000D6FB9">
        <w:t>.</w:t>
      </w:r>
      <w:r>
        <w:t xml:space="preserve"> </w:t>
      </w:r>
      <w:r w:rsidR="007A1BBA">
        <w:t>To test H1 and answer RQ1, a</w:t>
      </w:r>
      <w:r>
        <w:t>n Analysis of Covariance (ANCOVA) was c</w:t>
      </w:r>
      <w:r w:rsidR="007A1BBA">
        <w:t>onducted</w:t>
      </w:r>
      <w:r>
        <w:t xml:space="preserve">, with the two experimental manipulations as the </w:t>
      </w:r>
      <w:r w:rsidR="004B25A0">
        <w:t xml:space="preserve">main factors, participants’ age, </w:t>
      </w:r>
      <w:r w:rsidR="0029695C">
        <w:t>GPA</w:t>
      </w:r>
      <w:r w:rsidR="004B25A0">
        <w:t>, and pretest interest in research career</w:t>
      </w:r>
      <w:r w:rsidR="0029695C">
        <w:t xml:space="preserve"> </w:t>
      </w:r>
      <w:r>
        <w:t>as the covariate</w:t>
      </w:r>
      <w:r w:rsidR="0029695C">
        <w:t>s</w:t>
      </w:r>
      <w:r>
        <w:t xml:space="preserve">, and self-inspiration as the </w:t>
      </w:r>
      <w:r w:rsidR="007C051E">
        <w:t xml:space="preserve">dependent variable. The model was not significant, </w:t>
      </w:r>
      <w:bookmarkStart w:id="6" w:name="_Hlk496216569"/>
      <w:proofErr w:type="gramStart"/>
      <w:r w:rsidR="007C051E" w:rsidRPr="007C051E">
        <w:rPr>
          <w:i/>
        </w:rPr>
        <w:t>F</w:t>
      </w:r>
      <w:r w:rsidR="004B25A0">
        <w:t>(</w:t>
      </w:r>
      <w:proofErr w:type="gramEnd"/>
      <w:r w:rsidR="004B25A0">
        <w:t>6</w:t>
      </w:r>
      <w:r w:rsidR="00D45602">
        <w:t>, 142</w:t>
      </w:r>
      <w:r w:rsidR="003E15A4">
        <w:t xml:space="preserve">) = </w:t>
      </w:r>
      <w:r w:rsidR="0029558A">
        <w:t>1.03</w:t>
      </w:r>
      <w:r w:rsidR="007C051E">
        <w:t xml:space="preserve">, </w:t>
      </w:r>
      <w:r w:rsidR="007C051E" w:rsidRPr="007C051E">
        <w:rPr>
          <w:i/>
        </w:rPr>
        <w:t>p</w:t>
      </w:r>
      <w:r w:rsidR="007C051E">
        <w:t xml:space="preserve"> = </w:t>
      </w:r>
      <w:proofErr w:type="spellStart"/>
      <w:r w:rsidR="007C051E">
        <w:t>n.s</w:t>
      </w:r>
      <w:proofErr w:type="spellEnd"/>
      <w:r w:rsidR="007C051E">
        <w:t xml:space="preserve">., </w:t>
      </w:r>
      <w:r w:rsidR="007C051E" w:rsidRPr="007C051E">
        <w:rPr>
          <w:i/>
        </w:rPr>
        <w:lastRenderedPageBreak/>
        <w:t>R</w:t>
      </w:r>
      <w:r w:rsidR="007C051E" w:rsidRPr="007C051E">
        <w:rPr>
          <w:i/>
          <w:vertAlign w:val="superscript"/>
        </w:rPr>
        <w:t>2</w:t>
      </w:r>
      <w:r w:rsidR="007C051E">
        <w:t xml:space="preserve"> = .0</w:t>
      </w:r>
      <w:bookmarkEnd w:id="6"/>
      <w:r w:rsidR="0029558A">
        <w:t>5</w:t>
      </w:r>
      <w:r w:rsidR="007C051E">
        <w:t>. There was no significant difference in the level of self-inspiration between the high attainability message (</w:t>
      </w:r>
      <w:r w:rsidR="007C051E" w:rsidRPr="00EB22C3">
        <w:rPr>
          <w:i/>
        </w:rPr>
        <w:t>M</w:t>
      </w:r>
      <w:r w:rsidR="003913E2">
        <w:t xml:space="preserve"> = </w:t>
      </w:r>
      <w:r w:rsidR="0029558A">
        <w:t>4.90</w:t>
      </w:r>
      <w:r w:rsidR="007C051E">
        <w:t xml:space="preserve">, </w:t>
      </w:r>
      <w:r w:rsidR="007C051E" w:rsidRPr="00EB22C3">
        <w:rPr>
          <w:i/>
        </w:rPr>
        <w:t>SD</w:t>
      </w:r>
      <w:r w:rsidR="003913E2">
        <w:t xml:space="preserve"> = .</w:t>
      </w:r>
      <w:r w:rsidR="0029558A">
        <w:t>92</w:t>
      </w:r>
      <w:r w:rsidR="007C051E">
        <w:t>) and the low attainability message (</w:t>
      </w:r>
      <w:r w:rsidR="007C051E" w:rsidRPr="00EB22C3">
        <w:rPr>
          <w:i/>
        </w:rPr>
        <w:t>M</w:t>
      </w:r>
      <w:r w:rsidR="003913E2">
        <w:t xml:space="preserve"> = </w:t>
      </w:r>
      <w:r w:rsidR="0029558A">
        <w:t>4.69</w:t>
      </w:r>
      <w:r w:rsidR="007C051E">
        <w:t xml:space="preserve">, </w:t>
      </w:r>
      <w:r w:rsidR="007C051E" w:rsidRPr="00EB22C3">
        <w:rPr>
          <w:i/>
        </w:rPr>
        <w:t>SD</w:t>
      </w:r>
      <w:r w:rsidR="003913E2">
        <w:t xml:space="preserve"> = </w:t>
      </w:r>
      <w:r w:rsidR="0029558A">
        <w:t>1.01</w:t>
      </w:r>
      <w:r w:rsidR="007C051E">
        <w:t xml:space="preserve">), </w:t>
      </w:r>
      <w:proofErr w:type="gramStart"/>
      <w:r w:rsidR="007C051E" w:rsidRPr="007C051E">
        <w:rPr>
          <w:i/>
        </w:rPr>
        <w:t>F</w:t>
      </w:r>
      <w:r w:rsidR="00D45602">
        <w:t>(</w:t>
      </w:r>
      <w:proofErr w:type="gramEnd"/>
      <w:r w:rsidR="00D45602">
        <w:t>1, 142</w:t>
      </w:r>
      <w:r w:rsidR="003913E2">
        <w:t xml:space="preserve">) = </w:t>
      </w:r>
      <w:r w:rsidR="0029558A">
        <w:t>1.62</w:t>
      </w:r>
      <w:r w:rsidR="007C051E">
        <w:t xml:space="preserve">, </w:t>
      </w:r>
      <w:r w:rsidR="007C051E" w:rsidRPr="007C051E">
        <w:rPr>
          <w:i/>
        </w:rPr>
        <w:t>p</w:t>
      </w:r>
      <w:r w:rsidR="007C051E">
        <w:t xml:space="preserve"> = </w:t>
      </w:r>
      <w:proofErr w:type="spellStart"/>
      <w:r w:rsidR="007C051E">
        <w:t>n.s</w:t>
      </w:r>
      <w:proofErr w:type="spellEnd"/>
      <w:r w:rsidR="007C051E">
        <w:t xml:space="preserve">., </w:t>
      </w:r>
      <w:r w:rsidR="007C051E">
        <w:rPr>
          <w:rFonts w:cs="Times New Roman"/>
          <w:i/>
        </w:rPr>
        <w:t>η</w:t>
      </w:r>
      <w:r w:rsidR="007C051E" w:rsidRPr="007C051E">
        <w:rPr>
          <w:i/>
          <w:vertAlign w:val="superscript"/>
        </w:rPr>
        <w:t>2</w:t>
      </w:r>
      <w:r w:rsidR="007C051E">
        <w:t xml:space="preserve"> = .01</w:t>
      </w:r>
      <w:r w:rsidR="0029558A">
        <w:t>2</w:t>
      </w:r>
      <w:r w:rsidR="007C051E">
        <w:t xml:space="preserve">. </w:t>
      </w:r>
      <w:r w:rsidR="006256B0">
        <w:t xml:space="preserve">Neither </w:t>
      </w:r>
      <w:r w:rsidR="004E53EA">
        <w:t>the main effect from role model portrayal (</w:t>
      </w:r>
      <w:proofErr w:type="gramStart"/>
      <w:r w:rsidR="004E53EA" w:rsidRPr="007C051E">
        <w:rPr>
          <w:i/>
        </w:rPr>
        <w:t>F</w:t>
      </w:r>
      <w:r w:rsidR="004E53EA">
        <w:t>(</w:t>
      </w:r>
      <w:proofErr w:type="gramEnd"/>
      <w:r w:rsidR="00D45602">
        <w:t>1, 142</w:t>
      </w:r>
      <w:r w:rsidR="003913E2">
        <w:t>) = .</w:t>
      </w:r>
      <w:r w:rsidR="0029558A">
        <w:t>11</w:t>
      </w:r>
      <w:r w:rsidR="004E53EA">
        <w:t xml:space="preserve">, </w:t>
      </w:r>
      <w:r w:rsidR="004E53EA" w:rsidRPr="007C051E">
        <w:rPr>
          <w:i/>
        </w:rPr>
        <w:t>p</w:t>
      </w:r>
      <w:r w:rsidR="004E53EA">
        <w:t xml:space="preserve"> = </w:t>
      </w:r>
      <w:proofErr w:type="spellStart"/>
      <w:r w:rsidR="004E53EA">
        <w:t>n.s</w:t>
      </w:r>
      <w:proofErr w:type="spellEnd"/>
      <w:r w:rsidR="004E53EA">
        <w:t xml:space="preserve">., </w:t>
      </w:r>
      <w:r w:rsidR="004E53EA">
        <w:rPr>
          <w:rFonts w:cs="Times New Roman"/>
          <w:i/>
        </w:rPr>
        <w:t>η</w:t>
      </w:r>
      <w:r w:rsidR="004E53EA" w:rsidRPr="007C051E">
        <w:rPr>
          <w:i/>
          <w:vertAlign w:val="superscript"/>
        </w:rPr>
        <w:t>2</w:t>
      </w:r>
      <w:r w:rsidR="00A70E38">
        <w:t xml:space="preserve"> = </w:t>
      </w:r>
      <w:r w:rsidR="002D1442">
        <w:t>0</w:t>
      </w:r>
      <w:r w:rsidR="00A70E38">
        <w:t>)</w:t>
      </w:r>
      <w:r w:rsidR="004E53EA">
        <w:t xml:space="preserve"> and the interaction effect was significant</w:t>
      </w:r>
      <w:r w:rsidR="00A70E38">
        <w:t xml:space="preserve"> (</w:t>
      </w:r>
      <w:r w:rsidR="00A70E38" w:rsidRPr="007C051E">
        <w:rPr>
          <w:i/>
        </w:rPr>
        <w:t>F</w:t>
      </w:r>
      <w:r w:rsidR="00D45602">
        <w:t>(1, 142</w:t>
      </w:r>
      <w:r w:rsidR="003913E2">
        <w:t>) = .</w:t>
      </w:r>
      <w:r w:rsidR="002D1442">
        <w:t>004</w:t>
      </w:r>
      <w:r w:rsidR="00A70E38">
        <w:t xml:space="preserve">, </w:t>
      </w:r>
      <w:r w:rsidR="00A70E38" w:rsidRPr="007C051E">
        <w:rPr>
          <w:i/>
        </w:rPr>
        <w:t>p</w:t>
      </w:r>
      <w:r w:rsidR="00A70E38">
        <w:t xml:space="preserve"> = </w:t>
      </w:r>
      <w:proofErr w:type="spellStart"/>
      <w:r w:rsidR="00A70E38">
        <w:t>n.s</w:t>
      </w:r>
      <w:proofErr w:type="spellEnd"/>
      <w:r w:rsidR="00A70E38">
        <w:t xml:space="preserve">., </w:t>
      </w:r>
      <w:r w:rsidR="00A70E38">
        <w:rPr>
          <w:rFonts w:cs="Times New Roman"/>
          <w:i/>
        </w:rPr>
        <w:t>η</w:t>
      </w:r>
      <w:r w:rsidR="00A70E38" w:rsidRPr="007C051E">
        <w:rPr>
          <w:i/>
          <w:vertAlign w:val="superscript"/>
        </w:rPr>
        <w:t>2</w:t>
      </w:r>
      <w:r w:rsidR="00A70E38">
        <w:t xml:space="preserve"> = </w:t>
      </w:r>
      <w:r w:rsidR="002D1442">
        <w:t>0</w:t>
      </w:r>
      <w:r w:rsidR="00A70E38">
        <w:t>)</w:t>
      </w:r>
      <w:r w:rsidR="004E53EA">
        <w:t xml:space="preserve">. </w:t>
      </w:r>
      <w:r w:rsidR="007A1BBA">
        <w:t>Thus, H1 was not supported, and there is no differential effect of the high attainability message depending on portrayals of role models.</w:t>
      </w:r>
    </w:p>
    <w:p w14:paraId="0533ADC5" w14:textId="77777777" w:rsidR="007C051E" w:rsidRDefault="007C051E" w:rsidP="00E70436">
      <w:pPr>
        <w:widowControl w:val="0"/>
      </w:pPr>
      <w:r>
        <w:tab/>
        <w:t xml:space="preserve">Hypothesis 2 predicted </w:t>
      </w:r>
      <w:r w:rsidR="00386E8E">
        <w:t xml:space="preserve">a three-way interaction between perceived attainability, </w:t>
      </w:r>
      <w:r w:rsidR="00662E0D">
        <w:t xml:space="preserve">portrayals of </w:t>
      </w:r>
      <w:r w:rsidR="00386E8E">
        <w:t xml:space="preserve">role models, and family role salience on </w:t>
      </w:r>
      <w:r w:rsidR="00191B2C">
        <w:t>women’s</w:t>
      </w:r>
      <w:r w:rsidR="00386E8E">
        <w:t xml:space="preserve"> self-inspiration </w:t>
      </w:r>
      <w:r w:rsidR="008B6384">
        <w:t>in response</w:t>
      </w:r>
      <w:r w:rsidR="00386E8E">
        <w:t xml:space="preserve"> to the role models. Specifically, f</w:t>
      </w:r>
      <w:r w:rsidR="00386E8E" w:rsidRPr="00386E8E">
        <w:t xml:space="preserve">or women with high </w:t>
      </w:r>
      <w:r w:rsidR="006B35DE">
        <w:t>family</w:t>
      </w:r>
      <w:r w:rsidR="00386E8E" w:rsidRPr="00386E8E">
        <w:t xml:space="preserve"> life role salience, after reading the high attainability message, exposure to</w:t>
      </w:r>
      <w:r w:rsidR="00662E0D">
        <w:t xml:space="preserve"> </w:t>
      </w:r>
      <w:r w:rsidR="003A69DA">
        <w:t>family</w:t>
      </w:r>
      <w:r w:rsidR="00386E8E" w:rsidRPr="00386E8E">
        <w:t xml:space="preserve"> role models will lead to higher self-inspiration than exposure </w:t>
      </w:r>
      <w:r w:rsidR="003A69DA">
        <w:t>non-family</w:t>
      </w:r>
      <w:r w:rsidR="00662E0D">
        <w:t xml:space="preserve"> </w:t>
      </w:r>
      <w:r w:rsidR="00386E8E" w:rsidRPr="00386E8E">
        <w:t xml:space="preserve">role models. </w:t>
      </w:r>
      <w:r w:rsidR="00662E0D">
        <w:t>Vice versa, f</w:t>
      </w:r>
      <w:r w:rsidR="00386E8E" w:rsidRPr="00386E8E">
        <w:t xml:space="preserve">or women with low </w:t>
      </w:r>
      <w:r w:rsidR="006B35DE">
        <w:t>family</w:t>
      </w:r>
      <w:r w:rsidR="00386E8E" w:rsidRPr="00386E8E">
        <w:t xml:space="preserve"> life role salience, exposure to </w:t>
      </w:r>
      <w:r w:rsidR="003A69DA">
        <w:t>non-family</w:t>
      </w:r>
      <w:r w:rsidR="00662E0D">
        <w:t xml:space="preserve"> </w:t>
      </w:r>
      <w:r w:rsidR="00386E8E" w:rsidRPr="00386E8E">
        <w:t xml:space="preserve">role models will lead to higher self-inspiration than exposure </w:t>
      </w:r>
      <w:r w:rsidR="003A69DA">
        <w:t>family</w:t>
      </w:r>
      <w:r w:rsidR="00662E0D">
        <w:t xml:space="preserve"> </w:t>
      </w:r>
      <w:r w:rsidR="00386E8E" w:rsidRPr="00386E8E">
        <w:t>role models.</w:t>
      </w:r>
      <w:r w:rsidR="00386E8E">
        <w:t xml:space="preserve"> A Model 3 moderation analysis was </w:t>
      </w:r>
      <w:r w:rsidR="00386E8E" w:rsidRPr="00386E8E">
        <w:t xml:space="preserve">conducted using the PROCESS macro (Hayes, 2013) </w:t>
      </w:r>
      <w:r w:rsidR="00386E8E">
        <w:t>to test this hypothesis, with the two experimental manipulations and family life role salience as th</w:t>
      </w:r>
      <w:r w:rsidR="004B25A0">
        <w:t xml:space="preserve">e predictors, participants’ age, </w:t>
      </w:r>
      <w:r w:rsidR="0029695C">
        <w:t>GPA</w:t>
      </w:r>
      <w:r w:rsidR="004B25A0">
        <w:t>, and pretest interest in research career</w:t>
      </w:r>
      <w:r w:rsidR="0029695C">
        <w:t xml:space="preserve"> </w:t>
      </w:r>
      <w:r w:rsidR="00386E8E">
        <w:t>as the covariate</w:t>
      </w:r>
      <w:r w:rsidR="0029695C">
        <w:t>s</w:t>
      </w:r>
      <w:r w:rsidR="00386E8E">
        <w:t xml:space="preserve">, and self-inspiration as the outcome variable. </w:t>
      </w:r>
    </w:p>
    <w:p w14:paraId="2A9E1A96" w14:textId="63E2F250" w:rsidR="00386E8E" w:rsidRDefault="00386E8E" w:rsidP="00E70436">
      <w:pPr>
        <w:widowControl w:val="0"/>
      </w:pPr>
      <w:r>
        <w:tab/>
        <w:t xml:space="preserve">Overall, the model was significant, </w:t>
      </w:r>
      <w:bookmarkStart w:id="7" w:name="_Hlk496217964"/>
      <w:proofErr w:type="gramStart"/>
      <w:r w:rsidRPr="007C051E">
        <w:rPr>
          <w:i/>
        </w:rPr>
        <w:t>F</w:t>
      </w:r>
      <w:r w:rsidR="00271DC2">
        <w:t>(</w:t>
      </w:r>
      <w:proofErr w:type="gramEnd"/>
      <w:r w:rsidR="00271DC2">
        <w:t>10, 138</w:t>
      </w:r>
      <w:r w:rsidR="004B7B5B">
        <w:t xml:space="preserve">) = </w:t>
      </w:r>
      <w:r w:rsidR="002D1442">
        <w:t>2.06</w:t>
      </w:r>
      <w:r>
        <w:t xml:space="preserve">, </w:t>
      </w:r>
      <w:r w:rsidRPr="007C051E">
        <w:rPr>
          <w:i/>
        </w:rPr>
        <w:t>p</w:t>
      </w:r>
      <w:r w:rsidR="004E51C4">
        <w:t xml:space="preserve"> = .0</w:t>
      </w:r>
      <w:r w:rsidR="002D1442">
        <w:t>3</w:t>
      </w:r>
      <w:r>
        <w:t xml:space="preserve">, </w:t>
      </w:r>
      <w:r w:rsidRPr="007C051E">
        <w:rPr>
          <w:i/>
        </w:rPr>
        <w:t>R</w:t>
      </w:r>
      <w:r w:rsidRPr="007C051E">
        <w:rPr>
          <w:i/>
          <w:vertAlign w:val="superscript"/>
        </w:rPr>
        <w:t>2</w:t>
      </w:r>
      <w:r>
        <w:t xml:space="preserve"> = .1</w:t>
      </w:r>
      <w:bookmarkEnd w:id="7"/>
      <w:r w:rsidR="002D1442">
        <w:t>5</w:t>
      </w:r>
      <w:r>
        <w:t xml:space="preserve">. </w:t>
      </w:r>
      <w:r w:rsidR="0092483A">
        <w:t xml:space="preserve">None of the three independent variables reached statistical significance, but the three-way interaction emerged as a significant predictor, </w:t>
      </w:r>
      <w:r w:rsidR="00E0565D" w:rsidRPr="00E0565D">
        <w:rPr>
          <w:rFonts w:cs="Times New Roman"/>
          <w:i/>
        </w:rPr>
        <w:t>β</w:t>
      </w:r>
      <w:r w:rsidR="003913E2">
        <w:t xml:space="preserve"> = -.0</w:t>
      </w:r>
      <w:r w:rsidR="002D1442">
        <w:t>3</w:t>
      </w:r>
      <w:r w:rsidR="00E0565D">
        <w:t xml:space="preserve">, </w:t>
      </w:r>
      <w:r w:rsidR="00E0565D" w:rsidRPr="00E0565D">
        <w:rPr>
          <w:i/>
        </w:rPr>
        <w:t>SE</w:t>
      </w:r>
      <w:r w:rsidR="003913E2">
        <w:t xml:space="preserve"> = .0</w:t>
      </w:r>
      <w:r w:rsidR="002D1442">
        <w:t>1</w:t>
      </w:r>
      <w:r w:rsidR="00E0565D">
        <w:t xml:space="preserve">, </w:t>
      </w:r>
      <w:r w:rsidR="00E0565D" w:rsidRPr="00E0565D">
        <w:rPr>
          <w:i/>
        </w:rPr>
        <w:t>t</w:t>
      </w:r>
      <w:r w:rsidR="004E51C4">
        <w:t xml:space="preserve"> = -2.</w:t>
      </w:r>
      <w:r w:rsidR="002D1442">
        <w:t>64</w:t>
      </w:r>
      <w:r w:rsidR="0092483A">
        <w:t xml:space="preserve">, </w:t>
      </w:r>
      <w:r w:rsidR="0092483A" w:rsidRPr="007C051E">
        <w:rPr>
          <w:i/>
        </w:rPr>
        <w:t>p</w:t>
      </w:r>
      <w:r w:rsidR="003913E2">
        <w:t xml:space="preserve"> = .0</w:t>
      </w:r>
      <w:r w:rsidR="002D1442">
        <w:t>1</w:t>
      </w:r>
      <w:r w:rsidR="0092483A">
        <w:t xml:space="preserve">, </w:t>
      </w:r>
      <w:r w:rsidR="0092483A">
        <w:rPr>
          <w:rFonts w:cs="Times New Roman"/>
        </w:rPr>
        <w:t>Δ</w:t>
      </w:r>
      <w:r w:rsidR="0092483A" w:rsidRPr="007C051E">
        <w:rPr>
          <w:i/>
        </w:rPr>
        <w:t>R</w:t>
      </w:r>
      <w:r w:rsidR="0092483A" w:rsidRPr="007C051E">
        <w:rPr>
          <w:i/>
          <w:vertAlign w:val="superscript"/>
        </w:rPr>
        <w:t>2</w:t>
      </w:r>
      <w:r w:rsidR="003913E2">
        <w:t xml:space="preserve"> = .0</w:t>
      </w:r>
      <w:r w:rsidR="002D1442">
        <w:t>5</w:t>
      </w:r>
      <w:r w:rsidR="0092483A">
        <w:t xml:space="preserve">. However, the direction of the interaction was different than </w:t>
      </w:r>
      <w:r w:rsidR="007F6A95">
        <w:t>expected</w:t>
      </w:r>
      <w:r w:rsidR="0092483A">
        <w:t xml:space="preserve">. </w:t>
      </w:r>
      <w:r w:rsidR="002F2B57">
        <w:t>As seen in Figure 2</w:t>
      </w:r>
      <w:r w:rsidR="00774F59">
        <w:t xml:space="preserve">, the attainability message did not </w:t>
      </w:r>
      <w:r w:rsidR="00662E0D">
        <w:t xml:space="preserve">consistently </w:t>
      </w:r>
      <w:r w:rsidR="00774F59">
        <w:t xml:space="preserve">affect self-inspiration for both types of role models. For participants with </w:t>
      </w:r>
      <w:r w:rsidR="00774F59" w:rsidRPr="0001064E">
        <w:rPr>
          <w:i/>
        </w:rPr>
        <w:t>low family life role salience</w:t>
      </w:r>
      <w:r w:rsidR="00774F59">
        <w:t xml:space="preserve">, reading the high attainability message increased </w:t>
      </w:r>
      <w:r w:rsidR="00662E0D">
        <w:t xml:space="preserve">their </w:t>
      </w:r>
      <w:r w:rsidR="00774F59">
        <w:t xml:space="preserve">self-inspiration to the role models compared to reading the low attainability message, but only for </w:t>
      </w:r>
      <w:r w:rsidR="0001064E" w:rsidRPr="0001064E">
        <w:rPr>
          <w:i/>
        </w:rPr>
        <w:t>family</w:t>
      </w:r>
      <w:r w:rsidR="00662E0D" w:rsidRPr="0001064E">
        <w:rPr>
          <w:i/>
        </w:rPr>
        <w:t xml:space="preserve"> </w:t>
      </w:r>
      <w:r w:rsidR="00774F59" w:rsidRPr="0001064E">
        <w:rPr>
          <w:i/>
        </w:rPr>
        <w:t>role models</w:t>
      </w:r>
      <w:r w:rsidR="00774F59">
        <w:t xml:space="preserve">. </w:t>
      </w:r>
      <w:r w:rsidR="00774F59" w:rsidRPr="00774F59">
        <w:lastRenderedPageBreak/>
        <w:t xml:space="preserve">For participants with </w:t>
      </w:r>
      <w:r w:rsidR="00774F59" w:rsidRPr="0001064E">
        <w:rPr>
          <w:i/>
        </w:rPr>
        <w:t>high family life role salience</w:t>
      </w:r>
      <w:r w:rsidR="00774F59" w:rsidRPr="00774F59">
        <w:t xml:space="preserve">, </w:t>
      </w:r>
      <w:r w:rsidR="00774F59">
        <w:t>we observed the reverse pattern: R</w:t>
      </w:r>
      <w:r w:rsidR="00774F59" w:rsidRPr="00774F59">
        <w:t xml:space="preserve">eading the high attainability message increased their self-inspiration </w:t>
      </w:r>
      <w:r w:rsidR="00774F59">
        <w:t xml:space="preserve">to the role models </w:t>
      </w:r>
      <w:r w:rsidR="00774F59" w:rsidRPr="00774F59">
        <w:t xml:space="preserve">compared to reading the low attainability message, but only for </w:t>
      </w:r>
      <w:r w:rsidR="0001064E" w:rsidRPr="0001064E">
        <w:rPr>
          <w:i/>
        </w:rPr>
        <w:t>non-family</w:t>
      </w:r>
      <w:r w:rsidR="00662E0D" w:rsidRPr="0001064E">
        <w:rPr>
          <w:i/>
        </w:rPr>
        <w:t xml:space="preserve"> </w:t>
      </w:r>
      <w:r w:rsidR="00774F59" w:rsidRPr="0001064E">
        <w:rPr>
          <w:i/>
        </w:rPr>
        <w:t>role models</w:t>
      </w:r>
      <w:r w:rsidR="00774F59" w:rsidRPr="00774F59">
        <w:t>.</w:t>
      </w:r>
      <w:r w:rsidR="00774F59">
        <w:t xml:space="preserve"> Thus, H2 was rejected.</w:t>
      </w:r>
    </w:p>
    <w:p w14:paraId="0E6EB2EE" w14:textId="17E0770F" w:rsidR="00774F59" w:rsidRDefault="00774F59" w:rsidP="00E70436">
      <w:pPr>
        <w:widowControl w:val="0"/>
      </w:pPr>
      <w:r>
        <w:tab/>
        <w:t>Hypothesis 3 predicted that s</w:t>
      </w:r>
      <w:r w:rsidRPr="00774F59">
        <w:t xml:space="preserve">elf-inspiration </w:t>
      </w:r>
      <w:r w:rsidR="008B6384">
        <w:t>in response</w:t>
      </w:r>
      <w:r w:rsidRPr="00774F59">
        <w:t xml:space="preserve"> to the role models will </w:t>
      </w:r>
      <w:r>
        <w:t>increase</w:t>
      </w:r>
      <w:r w:rsidRPr="00774F59">
        <w:t xml:space="preserve"> </w:t>
      </w:r>
      <w:r w:rsidR="00BC7CC6">
        <w:t>women’s interest in the research</w:t>
      </w:r>
      <w:r w:rsidRPr="00774F59">
        <w:t xml:space="preserve"> career.</w:t>
      </w:r>
      <w:r>
        <w:t xml:space="preserve"> To test this hypothesis, we ran </w:t>
      </w:r>
      <w:r w:rsidR="008937DF">
        <w:t>a multiple regression with self-inspiration as the ma</w:t>
      </w:r>
      <w:r w:rsidR="004B25A0">
        <w:t xml:space="preserve">in predictor, participants’ age, GPA, and </w:t>
      </w:r>
      <w:r w:rsidR="008937DF">
        <w:t xml:space="preserve">pretest level of interest in </w:t>
      </w:r>
      <w:r w:rsidR="00BC7CC6">
        <w:t xml:space="preserve">the </w:t>
      </w:r>
      <w:r w:rsidR="008937DF">
        <w:t xml:space="preserve">research career as the covariates, and their posttest level of interest in </w:t>
      </w:r>
      <w:r w:rsidR="00BC7CC6">
        <w:t xml:space="preserve">the </w:t>
      </w:r>
      <w:r w:rsidR="008937DF">
        <w:t xml:space="preserve">research career as the outcome. </w:t>
      </w:r>
      <w:r w:rsidR="00E0565D">
        <w:t xml:space="preserve">The model was significant, </w:t>
      </w:r>
      <w:proofErr w:type="gramStart"/>
      <w:r w:rsidR="00E0565D" w:rsidRPr="007C051E">
        <w:rPr>
          <w:i/>
        </w:rPr>
        <w:t>F</w:t>
      </w:r>
      <w:r w:rsidR="006E0E1D">
        <w:t>(</w:t>
      </w:r>
      <w:proofErr w:type="gramEnd"/>
      <w:r w:rsidR="006E0E1D">
        <w:t>4</w:t>
      </w:r>
      <w:r w:rsidR="00D45602">
        <w:t>, 145</w:t>
      </w:r>
      <w:r w:rsidR="00E0565D">
        <w:t xml:space="preserve">) = </w:t>
      </w:r>
      <w:r w:rsidR="003E15A4">
        <w:t>6</w:t>
      </w:r>
      <w:r w:rsidR="002D1442">
        <w:t>3</w:t>
      </w:r>
      <w:r w:rsidR="009123F4">
        <w:t>.</w:t>
      </w:r>
      <w:r w:rsidR="002D1442">
        <w:t>98</w:t>
      </w:r>
      <w:r w:rsidR="00E0565D">
        <w:t xml:space="preserve">, </w:t>
      </w:r>
      <w:r w:rsidR="00E0565D" w:rsidRPr="007C051E">
        <w:rPr>
          <w:i/>
        </w:rPr>
        <w:t>p</w:t>
      </w:r>
      <w:r w:rsidR="00E0565D">
        <w:t xml:space="preserve"> &lt; .001, </w:t>
      </w:r>
      <w:r w:rsidR="00E0565D" w:rsidRPr="007C051E">
        <w:rPr>
          <w:i/>
        </w:rPr>
        <w:t>R</w:t>
      </w:r>
      <w:r w:rsidR="00E0565D" w:rsidRPr="007C051E">
        <w:rPr>
          <w:i/>
          <w:vertAlign w:val="superscript"/>
        </w:rPr>
        <w:t>2</w:t>
      </w:r>
      <w:r w:rsidR="000A23C5">
        <w:t xml:space="preserve"> = .6</w:t>
      </w:r>
      <w:r w:rsidR="002D1442">
        <w:t>7</w:t>
      </w:r>
      <w:r w:rsidR="00E0565D">
        <w:t xml:space="preserve">, as was self-inspiration as a predictor, </w:t>
      </w:r>
      <w:bookmarkStart w:id="8" w:name="_Hlk496218179"/>
      <w:r w:rsidR="00E0565D" w:rsidRPr="00E0565D">
        <w:rPr>
          <w:rFonts w:cs="Times New Roman"/>
          <w:i/>
        </w:rPr>
        <w:t>β</w:t>
      </w:r>
      <w:r w:rsidR="003E15A4">
        <w:t xml:space="preserve"> = 4.</w:t>
      </w:r>
      <w:r w:rsidR="002D1442">
        <w:t>55</w:t>
      </w:r>
      <w:r w:rsidR="00E0565D">
        <w:t xml:space="preserve">, </w:t>
      </w:r>
      <w:r w:rsidR="00E0565D" w:rsidRPr="00E0565D">
        <w:rPr>
          <w:i/>
        </w:rPr>
        <w:t>SE</w:t>
      </w:r>
      <w:r w:rsidR="003E15A4">
        <w:t xml:space="preserve"> = </w:t>
      </w:r>
      <w:r w:rsidR="002D1442">
        <w:t>1.69</w:t>
      </w:r>
      <w:r w:rsidR="00E0565D">
        <w:t xml:space="preserve">, </w:t>
      </w:r>
      <w:r w:rsidR="00E0565D" w:rsidRPr="00E0565D">
        <w:rPr>
          <w:i/>
        </w:rPr>
        <w:t>t</w:t>
      </w:r>
      <w:r w:rsidR="00E0565D">
        <w:t xml:space="preserve"> = 2</w:t>
      </w:r>
      <w:r w:rsidR="002D1442">
        <w:t>.70</w:t>
      </w:r>
      <w:bookmarkEnd w:id="8"/>
      <w:r w:rsidR="00E0565D">
        <w:t xml:space="preserve">, </w:t>
      </w:r>
      <w:r w:rsidR="00E0565D" w:rsidRPr="00E0565D">
        <w:rPr>
          <w:i/>
        </w:rPr>
        <w:t>p</w:t>
      </w:r>
      <w:r w:rsidR="003E15A4">
        <w:t xml:space="preserve"> = .0</w:t>
      </w:r>
      <w:r w:rsidR="002D1442">
        <w:t>08</w:t>
      </w:r>
      <w:r w:rsidR="00E0565D">
        <w:t>. H3 was therefore supported.</w:t>
      </w:r>
    </w:p>
    <w:p w14:paraId="47D2FE0C" w14:textId="77777777" w:rsidR="005D764E" w:rsidRDefault="00E0565D" w:rsidP="00E70436">
      <w:pPr>
        <w:widowControl w:val="0"/>
      </w:pPr>
      <w:r>
        <w:tab/>
        <w:t>Finally, hypothesis 4 suggested that t</w:t>
      </w:r>
      <w:r w:rsidRPr="00E0565D">
        <w:t xml:space="preserve">he interaction effect between perceived attainability, </w:t>
      </w:r>
      <w:r w:rsidR="00662E0D">
        <w:t xml:space="preserve">portrayals of </w:t>
      </w:r>
      <w:r w:rsidRPr="00E0565D">
        <w:t xml:space="preserve">role models, and family role salience on women’ interest in the </w:t>
      </w:r>
      <w:r>
        <w:t>research</w:t>
      </w:r>
      <w:r w:rsidRPr="00E0565D">
        <w:t xml:space="preserve"> career will be mediated through their self-inspiration </w:t>
      </w:r>
      <w:r w:rsidR="008B6384">
        <w:t>in response</w:t>
      </w:r>
      <w:r w:rsidRPr="00E0565D">
        <w:t xml:space="preserve"> to the role models</w:t>
      </w:r>
      <w:r>
        <w:t>. A Model 11 moderated mediation</w:t>
      </w:r>
      <w:r w:rsidRPr="00E0565D">
        <w:t xml:space="preserve"> analysis </w:t>
      </w:r>
      <w:r w:rsidR="005F2C22">
        <w:t xml:space="preserve">with </w:t>
      </w:r>
      <w:r w:rsidR="005F2C22" w:rsidRPr="005F2C22">
        <w:rPr>
          <w:i/>
        </w:rPr>
        <w:t>k</w:t>
      </w:r>
      <w:r w:rsidR="005F2C22">
        <w:t xml:space="preserve"> = 10,000 bootstrap estimates </w:t>
      </w:r>
      <w:r w:rsidRPr="00E0565D">
        <w:t>was conducted using the PROCESS macro (Hayes, 2013) to test this hypothesis, with the two experimental manipulations and family life role salience as th</w:t>
      </w:r>
      <w:r w:rsidR="004B25A0">
        <w:t xml:space="preserve">e predictors, participants’ age, GPA, and </w:t>
      </w:r>
      <w:r w:rsidR="00BC7CC6">
        <w:t xml:space="preserve">pretest level of interest in the research career </w:t>
      </w:r>
      <w:r w:rsidRPr="00E0565D">
        <w:t>as the covariate</w:t>
      </w:r>
      <w:r w:rsidR="00BC7CC6">
        <w:t>s</w:t>
      </w:r>
      <w:r w:rsidRPr="00E0565D">
        <w:t xml:space="preserve">, self-inspiration as the </w:t>
      </w:r>
      <w:r>
        <w:t xml:space="preserve">mediator, and participants’ </w:t>
      </w:r>
      <w:r w:rsidR="00BC7CC6">
        <w:t xml:space="preserve">posttest level of </w:t>
      </w:r>
      <w:r>
        <w:t xml:space="preserve">interest in </w:t>
      </w:r>
      <w:r w:rsidR="00BC7CC6">
        <w:t xml:space="preserve">the </w:t>
      </w:r>
      <w:r>
        <w:t xml:space="preserve">research career as the </w:t>
      </w:r>
      <w:r w:rsidRPr="00E0565D">
        <w:t>outcome variable</w:t>
      </w:r>
      <w:r>
        <w:t>.</w:t>
      </w:r>
      <w:r w:rsidR="00BC7CC6">
        <w:t xml:space="preserve"> </w:t>
      </w:r>
    </w:p>
    <w:p w14:paraId="0468E4EF" w14:textId="77777777" w:rsidR="00E0565D" w:rsidRDefault="00BC7CC6" w:rsidP="00E70436">
      <w:pPr>
        <w:widowControl w:val="0"/>
        <w:ind w:firstLine="720"/>
      </w:pPr>
      <w:r>
        <w:t xml:space="preserve">Overall, the model was significant, </w:t>
      </w:r>
      <w:proofErr w:type="gramStart"/>
      <w:r w:rsidRPr="007C051E">
        <w:rPr>
          <w:i/>
        </w:rPr>
        <w:t>F</w:t>
      </w:r>
      <w:r w:rsidR="00D45602">
        <w:t>(</w:t>
      </w:r>
      <w:proofErr w:type="gramEnd"/>
      <w:r w:rsidR="00D45602">
        <w:t>10, 137</w:t>
      </w:r>
      <w:r w:rsidR="003913E2">
        <w:t xml:space="preserve">) = </w:t>
      </w:r>
      <w:r w:rsidR="002D1442">
        <w:t>2.05</w:t>
      </w:r>
      <w:r>
        <w:t xml:space="preserve">, </w:t>
      </w:r>
      <w:r w:rsidRPr="007C051E">
        <w:rPr>
          <w:i/>
        </w:rPr>
        <w:t>p</w:t>
      </w:r>
      <w:r w:rsidR="003913E2">
        <w:t xml:space="preserve"> = .0</w:t>
      </w:r>
      <w:r w:rsidR="002D1442">
        <w:t>3</w:t>
      </w:r>
      <w:r>
        <w:t xml:space="preserve">, </w:t>
      </w:r>
      <w:r w:rsidRPr="007C051E">
        <w:rPr>
          <w:i/>
        </w:rPr>
        <w:t>R</w:t>
      </w:r>
      <w:r w:rsidRPr="007C051E">
        <w:rPr>
          <w:i/>
          <w:vertAlign w:val="superscript"/>
        </w:rPr>
        <w:t>2</w:t>
      </w:r>
      <w:r w:rsidR="003913E2">
        <w:t xml:space="preserve"> = .1</w:t>
      </w:r>
      <w:r w:rsidR="002D1442">
        <w:t>5</w:t>
      </w:r>
      <w:r>
        <w:t xml:space="preserve">. The significant three-way interaction observed in the analysis run to test H2 was significantly mediated </w:t>
      </w:r>
      <w:r w:rsidRPr="00BC7CC6">
        <w:t xml:space="preserve">via self-inspiration </w:t>
      </w:r>
      <w:r>
        <w:t>to impact participants’ posttest level of interest in the res</w:t>
      </w:r>
      <w:r w:rsidR="002F2B57">
        <w:t xml:space="preserve">earch career. As seen in Table </w:t>
      </w:r>
      <w:r w:rsidR="0077669B">
        <w:t>4</w:t>
      </w:r>
      <w:r>
        <w:t>, f</w:t>
      </w:r>
      <w:r w:rsidRPr="00BC7CC6">
        <w:t xml:space="preserve">or participants with </w:t>
      </w:r>
      <w:r w:rsidRPr="0001064E">
        <w:rPr>
          <w:i/>
        </w:rPr>
        <w:t>low family life role salience</w:t>
      </w:r>
      <w:r w:rsidRPr="00BC7CC6">
        <w:t xml:space="preserve">, </w:t>
      </w:r>
      <w:r w:rsidR="005F2C22">
        <w:t xml:space="preserve">this mediation effect was significant when participants were exposed to </w:t>
      </w:r>
      <w:r w:rsidR="0001064E" w:rsidRPr="0001064E">
        <w:rPr>
          <w:i/>
        </w:rPr>
        <w:t>family</w:t>
      </w:r>
      <w:r w:rsidR="00662E0D" w:rsidRPr="0001064E">
        <w:rPr>
          <w:i/>
        </w:rPr>
        <w:t xml:space="preserve"> </w:t>
      </w:r>
      <w:r w:rsidR="005F2C22" w:rsidRPr="0001064E">
        <w:rPr>
          <w:i/>
        </w:rPr>
        <w:t>role models</w:t>
      </w:r>
      <w:r w:rsidR="005F2C22">
        <w:t xml:space="preserve"> after reading the high attainability message compared to reading the low attainability message, </w:t>
      </w:r>
      <w:r w:rsidR="005F2C22" w:rsidRPr="005F2C22">
        <w:rPr>
          <w:rFonts w:cs="Times New Roman"/>
          <w:i/>
        </w:rPr>
        <w:t>β</w:t>
      </w:r>
      <w:r w:rsidR="00B42A8C">
        <w:t xml:space="preserve"> = </w:t>
      </w:r>
      <w:r w:rsidR="002D1442">
        <w:t>3.43</w:t>
      </w:r>
      <w:r w:rsidR="005F2C22">
        <w:t xml:space="preserve">, boot </w:t>
      </w:r>
      <w:r w:rsidR="005F2C22" w:rsidRPr="005F2C22">
        <w:rPr>
          <w:i/>
        </w:rPr>
        <w:t>SE</w:t>
      </w:r>
      <w:r w:rsidR="00B42A8C">
        <w:t xml:space="preserve"> = 1.</w:t>
      </w:r>
      <w:r w:rsidR="002D1442">
        <w:t>74</w:t>
      </w:r>
      <w:r w:rsidR="005F2C22">
        <w:t xml:space="preserve">, </w:t>
      </w:r>
      <w:r w:rsidR="005F2C22">
        <w:lastRenderedPageBreak/>
        <w:t xml:space="preserve">bootstrapping CI </w:t>
      </w:r>
      <w:r w:rsidR="00B42A8C">
        <w:t>[.</w:t>
      </w:r>
      <w:r w:rsidR="002D1442">
        <w:t>83</w:t>
      </w:r>
      <w:r w:rsidR="00B42A8C">
        <w:t xml:space="preserve"> – </w:t>
      </w:r>
      <w:r w:rsidR="002D1442">
        <w:t>8.07</w:t>
      </w:r>
      <w:r w:rsidR="005F2C22">
        <w:t>]. F</w:t>
      </w:r>
      <w:r w:rsidR="005F2C22" w:rsidRPr="005F2C22">
        <w:t xml:space="preserve">or participants with </w:t>
      </w:r>
      <w:r w:rsidR="005F2C22" w:rsidRPr="0001064E">
        <w:rPr>
          <w:i/>
        </w:rPr>
        <w:t>high family life role salience</w:t>
      </w:r>
      <w:r w:rsidR="005F2C22" w:rsidRPr="005F2C22">
        <w:t xml:space="preserve">, this mediation effect was significant when participants were exposed to </w:t>
      </w:r>
      <w:r w:rsidR="0001064E" w:rsidRPr="0001064E">
        <w:rPr>
          <w:i/>
        </w:rPr>
        <w:t>non-family</w:t>
      </w:r>
      <w:r w:rsidR="00662E0D" w:rsidRPr="0001064E">
        <w:rPr>
          <w:i/>
        </w:rPr>
        <w:t xml:space="preserve"> </w:t>
      </w:r>
      <w:r w:rsidR="005F2C22" w:rsidRPr="0001064E">
        <w:rPr>
          <w:i/>
        </w:rPr>
        <w:t>role models</w:t>
      </w:r>
      <w:r w:rsidR="005F2C22" w:rsidRPr="005F2C22">
        <w:t xml:space="preserve"> after reading the high attainability message compared to reading the low attainability message, </w:t>
      </w:r>
      <w:r w:rsidR="005F2C22" w:rsidRPr="005F2C22">
        <w:rPr>
          <w:i/>
        </w:rPr>
        <w:t>β</w:t>
      </w:r>
      <w:r w:rsidR="00B42A8C">
        <w:t xml:space="preserve"> = </w:t>
      </w:r>
      <w:r w:rsidR="002D1442">
        <w:t>2.51</w:t>
      </w:r>
      <w:r w:rsidR="005F2C22" w:rsidRPr="005F2C22">
        <w:t xml:space="preserve">, boot </w:t>
      </w:r>
      <w:r w:rsidR="005F2C22" w:rsidRPr="005F2C22">
        <w:rPr>
          <w:i/>
        </w:rPr>
        <w:t>SE</w:t>
      </w:r>
      <w:r w:rsidR="00B42A8C">
        <w:t xml:space="preserve"> = 1.</w:t>
      </w:r>
      <w:r w:rsidR="002D1442">
        <w:t>53</w:t>
      </w:r>
      <w:r w:rsidR="005F2C22">
        <w:t xml:space="preserve">, bootstrapping CI </w:t>
      </w:r>
      <w:r w:rsidR="00B42A8C">
        <w:t>[.</w:t>
      </w:r>
      <w:r w:rsidR="002D1442">
        <w:t>17</w:t>
      </w:r>
      <w:r w:rsidR="00B42A8C">
        <w:t xml:space="preserve"> – </w:t>
      </w:r>
      <w:r w:rsidR="002D1442">
        <w:t>6.40</w:t>
      </w:r>
      <w:r w:rsidR="005F2C22" w:rsidRPr="005F2C22">
        <w:t>].</w:t>
      </w:r>
      <w:r w:rsidR="005F2C22">
        <w:t xml:space="preserve"> </w:t>
      </w:r>
      <w:r w:rsidR="00577E89">
        <w:t>Thus, H4</w:t>
      </w:r>
      <w:r w:rsidR="005C395F">
        <w:t xml:space="preserve"> was supported</w:t>
      </w:r>
      <w:r w:rsidR="00577E89">
        <w:t>.</w:t>
      </w:r>
    </w:p>
    <w:p w14:paraId="47235EBE" w14:textId="77777777" w:rsidR="005D764E" w:rsidRDefault="005D764E" w:rsidP="00E70436">
      <w:pPr>
        <w:pStyle w:val="Heading1"/>
        <w:widowControl w:val="0"/>
        <w:spacing w:beforeAutospacing="0" w:afterAutospacing="0" w:line="480" w:lineRule="auto"/>
      </w:pPr>
      <w:r>
        <w:t>Discussion</w:t>
      </w:r>
    </w:p>
    <w:p w14:paraId="32F68886" w14:textId="77777777" w:rsidR="005D764E" w:rsidRDefault="00662E0D" w:rsidP="00E70436">
      <w:pPr>
        <w:widowControl w:val="0"/>
      </w:pPr>
      <w:r>
        <w:tab/>
        <w:t>B</w:t>
      </w:r>
      <w:r w:rsidRPr="00662E0D">
        <w:t>ased on role congruity theory and social comparison theory</w:t>
      </w:r>
      <w:r>
        <w:t>, t</w:t>
      </w:r>
      <w:r w:rsidR="00A375DE">
        <w:t xml:space="preserve">he current study </w:t>
      </w:r>
      <w:r w:rsidR="00A054E2">
        <w:t xml:space="preserve">examined the </w:t>
      </w:r>
      <w:r>
        <w:t xml:space="preserve">effects of </w:t>
      </w:r>
      <w:r w:rsidR="00A054E2">
        <w:t xml:space="preserve">perceived attainability, </w:t>
      </w:r>
      <w:r>
        <w:t>portrayals of</w:t>
      </w:r>
      <w:r w:rsidR="00A054E2">
        <w:t xml:space="preserve"> </w:t>
      </w:r>
      <w:r w:rsidR="0001064E">
        <w:t>family</w:t>
      </w:r>
      <w:r>
        <w:t xml:space="preserve"> vs. </w:t>
      </w:r>
      <w:r w:rsidR="0001064E">
        <w:t>non-family</w:t>
      </w:r>
      <w:r w:rsidR="00A054E2">
        <w:t xml:space="preserve"> role models, </w:t>
      </w:r>
      <w:r w:rsidR="00DC1621">
        <w:t xml:space="preserve">and </w:t>
      </w:r>
      <w:r w:rsidR="00A054E2">
        <w:t>family role salience</w:t>
      </w:r>
      <w:r>
        <w:t xml:space="preserve"> on</w:t>
      </w:r>
      <w:r w:rsidR="00A054E2">
        <w:t xml:space="preserve"> </w:t>
      </w:r>
      <w:r>
        <w:t xml:space="preserve">women’s </w:t>
      </w:r>
      <w:r w:rsidR="00A054E2">
        <w:t xml:space="preserve">self-inspiration </w:t>
      </w:r>
      <w:r w:rsidR="008B6384">
        <w:t>in response</w:t>
      </w:r>
      <w:r>
        <w:t xml:space="preserve"> to </w:t>
      </w:r>
      <w:r w:rsidR="008B6384">
        <w:t xml:space="preserve">female </w:t>
      </w:r>
      <w:r>
        <w:t>role models</w:t>
      </w:r>
      <w:r w:rsidR="00DC1621">
        <w:t>, and subsequently</w:t>
      </w:r>
      <w:r w:rsidR="00A054E2">
        <w:t xml:space="preserve"> their interest in</w:t>
      </w:r>
      <w:r>
        <w:t xml:space="preserve"> research careers</w:t>
      </w:r>
      <w:r w:rsidR="00A054E2">
        <w:t xml:space="preserve">. </w:t>
      </w:r>
      <w:r w:rsidR="00F9782B">
        <w:t>T</w:t>
      </w:r>
      <w:r w:rsidR="00A054E2">
        <w:t xml:space="preserve">he results showed that </w:t>
      </w:r>
      <w:r w:rsidR="009A72FE">
        <w:t xml:space="preserve">perceived attainability did not </w:t>
      </w:r>
      <w:r w:rsidR="00015A0C">
        <w:t xml:space="preserve">uniformly impact women’s self-inspiration (rejecting H1). Instead, the effect of perceived attainability depended on both the type of role models as well as women’s family role salience. For women with </w:t>
      </w:r>
      <w:r w:rsidR="00015A0C" w:rsidRPr="0001064E">
        <w:rPr>
          <w:i/>
        </w:rPr>
        <w:t>low family role salience</w:t>
      </w:r>
      <w:r w:rsidR="006B35DE">
        <w:t xml:space="preserve"> (family role is personally unimportant to them)</w:t>
      </w:r>
      <w:r w:rsidR="00015A0C">
        <w:t xml:space="preserve">, perceived attainability had positive impact when </w:t>
      </w:r>
      <w:r w:rsidR="00FC6CE7">
        <w:t xml:space="preserve">combined with </w:t>
      </w:r>
      <w:r w:rsidR="0001064E" w:rsidRPr="0001064E">
        <w:rPr>
          <w:i/>
        </w:rPr>
        <w:t>family</w:t>
      </w:r>
      <w:r w:rsidR="00FC6CE7" w:rsidRPr="0001064E">
        <w:rPr>
          <w:i/>
        </w:rPr>
        <w:t xml:space="preserve"> </w:t>
      </w:r>
      <w:r w:rsidR="00015A0C" w:rsidRPr="0001064E">
        <w:rPr>
          <w:i/>
        </w:rPr>
        <w:t>role models</w:t>
      </w:r>
      <w:r w:rsidR="00015A0C">
        <w:t xml:space="preserve"> </w:t>
      </w:r>
      <w:r w:rsidR="00FC6CE7">
        <w:t xml:space="preserve">(portrayed in both the </w:t>
      </w:r>
      <w:r w:rsidR="006B35DE">
        <w:t>family</w:t>
      </w:r>
      <w:r w:rsidR="00032948">
        <w:t xml:space="preserve"> and </w:t>
      </w:r>
      <w:r w:rsidR="00FC6CE7">
        <w:t xml:space="preserve">the </w:t>
      </w:r>
      <w:r w:rsidR="006B35DE">
        <w:t>career</w:t>
      </w:r>
      <w:r w:rsidR="00032948">
        <w:t xml:space="preserve"> role</w:t>
      </w:r>
      <w:r w:rsidR="00015A0C">
        <w:t xml:space="preserve">). For women with </w:t>
      </w:r>
      <w:r w:rsidR="00015A0C" w:rsidRPr="0001064E">
        <w:rPr>
          <w:i/>
        </w:rPr>
        <w:t>high family role salience</w:t>
      </w:r>
      <w:r w:rsidR="006B35DE">
        <w:t xml:space="preserve"> (family role is personally important to them)</w:t>
      </w:r>
      <w:r w:rsidR="00015A0C">
        <w:t xml:space="preserve">, </w:t>
      </w:r>
      <w:r w:rsidR="00015A0C" w:rsidRPr="00015A0C">
        <w:t xml:space="preserve">perceived attainability had positive impact when </w:t>
      </w:r>
      <w:r w:rsidR="00FC6CE7">
        <w:t xml:space="preserve">combined with </w:t>
      </w:r>
      <w:r w:rsidR="0001064E" w:rsidRPr="0001064E">
        <w:rPr>
          <w:i/>
        </w:rPr>
        <w:t>non-family</w:t>
      </w:r>
      <w:r w:rsidR="00FC6CE7" w:rsidRPr="0001064E">
        <w:rPr>
          <w:i/>
        </w:rPr>
        <w:t xml:space="preserve"> </w:t>
      </w:r>
      <w:r w:rsidR="00015A0C" w:rsidRPr="0001064E">
        <w:rPr>
          <w:i/>
        </w:rPr>
        <w:t>role models</w:t>
      </w:r>
      <w:r w:rsidR="00015A0C" w:rsidRPr="00015A0C">
        <w:t xml:space="preserve"> </w:t>
      </w:r>
      <w:r w:rsidR="00FC6CE7">
        <w:t>(</w:t>
      </w:r>
      <w:r w:rsidR="00015A0C" w:rsidRPr="00015A0C">
        <w:t xml:space="preserve">portrayed </w:t>
      </w:r>
      <w:r w:rsidR="00FC6CE7">
        <w:t>in the career role only</w:t>
      </w:r>
      <w:r w:rsidR="006B35DE">
        <w:t>)</w:t>
      </w:r>
      <w:r w:rsidR="00015A0C">
        <w:t xml:space="preserve">. This pattern of result is inconsistent with H2. However, self-inspiration did increase women’s interest in the counter-stereotypical career (supporting H3), and the significant interaction effect between perceived attainability, </w:t>
      </w:r>
      <w:r w:rsidR="00FC6CE7">
        <w:t xml:space="preserve">portrayals of </w:t>
      </w:r>
      <w:r w:rsidR="00015A0C">
        <w:t xml:space="preserve">role models, women’s family life role salience was mediated by self-inspiration and positively impacted interest in the </w:t>
      </w:r>
      <w:r w:rsidR="00FC6CE7">
        <w:t>research</w:t>
      </w:r>
      <w:r w:rsidR="00015A0C">
        <w:t xml:space="preserve"> career (supporting H4).</w:t>
      </w:r>
    </w:p>
    <w:p w14:paraId="36E04CEE" w14:textId="19442B3B" w:rsidR="00053B61" w:rsidRDefault="00053B61" w:rsidP="00E70436">
      <w:pPr>
        <w:widowControl w:val="0"/>
      </w:pPr>
      <w:r>
        <w:tab/>
        <w:t xml:space="preserve">Overall, our study provides broad support to the positive impact of perceived attainability on upward social comparison to female role models: Exposure to the high attainability message leads to high self-inspiration, which in turns leads to </w:t>
      </w:r>
      <w:r w:rsidR="00914E73">
        <w:t>higher interest in t</w:t>
      </w:r>
      <w:r w:rsidR="006B35DE">
        <w:t xml:space="preserve">he counter-stereotypical </w:t>
      </w:r>
      <w:r w:rsidR="006B35DE">
        <w:lastRenderedPageBreak/>
        <w:t>career. However,</w:t>
      </w:r>
      <w:r w:rsidR="00914E73">
        <w:t xml:space="preserve"> the effect depended on the type of role models as well as family role salience. Women who did not consider having a family to be highly important found the</w:t>
      </w:r>
      <w:r w:rsidR="00F9782B">
        <w:t xml:space="preserve"> </w:t>
      </w:r>
      <w:r w:rsidR="0001064E">
        <w:t>family</w:t>
      </w:r>
      <w:r w:rsidR="00914E73">
        <w:t xml:space="preserve"> role models to be more inspiring after reading the high attainability message than the low attainability message, but</w:t>
      </w:r>
      <w:r w:rsidR="00F9782B">
        <w:t xml:space="preserve"> the effect did not hold for </w:t>
      </w:r>
      <w:r w:rsidR="0001064E">
        <w:t>non-family</w:t>
      </w:r>
      <w:r w:rsidR="00F9782B">
        <w:t xml:space="preserve"> role models</w:t>
      </w:r>
      <w:r w:rsidR="00914E73">
        <w:t xml:space="preserve">. Vice versa, women </w:t>
      </w:r>
      <w:r w:rsidR="00914E73" w:rsidRPr="00914E73">
        <w:t xml:space="preserve">who consider having a family to be highly important found the </w:t>
      </w:r>
      <w:r w:rsidR="0001064E">
        <w:t>non-family</w:t>
      </w:r>
      <w:r w:rsidR="00F9782B">
        <w:t xml:space="preserve"> </w:t>
      </w:r>
      <w:r w:rsidR="00914E73" w:rsidRPr="00914E73">
        <w:t xml:space="preserve">role models to be more inspiring after reading the high attainability message than the low attainability message, but </w:t>
      </w:r>
      <w:r w:rsidR="00F9782B">
        <w:t xml:space="preserve">not when they read messages with </w:t>
      </w:r>
      <w:r w:rsidR="0001064E">
        <w:t>family</w:t>
      </w:r>
      <w:r w:rsidR="00F9782B">
        <w:t xml:space="preserve"> role models</w:t>
      </w:r>
      <w:r w:rsidR="00EB4E53">
        <w:t>. In other words, contrary to our predictions, high perceived attainability was effective when the role models were portrayed in domains less self-relevant to participants. When the role models were more self-relevant, the high vs. low attainability messages did not lead to differential impact on self-inspiration.</w:t>
      </w:r>
    </w:p>
    <w:p w14:paraId="0EDEBA4C" w14:textId="22BBD7DF" w:rsidR="001C1D36" w:rsidRDefault="00EB4E53" w:rsidP="00E70436">
      <w:pPr>
        <w:widowControl w:val="0"/>
      </w:pPr>
      <w:r>
        <w:tab/>
      </w:r>
      <w:r w:rsidR="0037730D">
        <w:t>This pattern of result can be interpreted using existing model and previous empirical findings concerning s</w:t>
      </w:r>
      <w:r w:rsidR="00541757">
        <w:t xml:space="preserve">elf-relevance </w:t>
      </w:r>
      <w:r w:rsidR="0037730D">
        <w:t>and</w:t>
      </w:r>
      <w:r w:rsidR="00541757">
        <w:t xml:space="preserve"> </w:t>
      </w:r>
      <w:r w:rsidR="0073569D">
        <w:t xml:space="preserve">upward </w:t>
      </w:r>
      <w:r w:rsidR="00541757">
        <w:t>social comparison. The self-evaluation maintenance (SEM) model (</w:t>
      </w:r>
      <w:proofErr w:type="spellStart"/>
      <w:r w:rsidR="00541757">
        <w:t>Tesser</w:t>
      </w:r>
      <w:proofErr w:type="spellEnd"/>
      <w:r w:rsidR="00541757">
        <w:t>, 1988</w:t>
      </w:r>
      <w:r w:rsidR="00134612">
        <w:t>) suggests that when an individual</w:t>
      </w:r>
      <w:r w:rsidR="00541757">
        <w:t xml:space="preserve"> compare to</w:t>
      </w:r>
      <w:r w:rsidR="00D0030C">
        <w:t xml:space="preserve"> </w:t>
      </w:r>
      <w:r w:rsidR="00820C7B">
        <w:t>a similar</w:t>
      </w:r>
      <w:r w:rsidR="00541757">
        <w:t xml:space="preserve"> upward c</w:t>
      </w:r>
      <w:r w:rsidR="00D0030C">
        <w:t xml:space="preserve">omparison target, </w:t>
      </w:r>
      <w:r w:rsidR="00820C7B">
        <w:t xml:space="preserve">domain’s </w:t>
      </w:r>
      <w:r w:rsidR="00D0030C">
        <w:t xml:space="preserve">self-relevance serves to moderate the outcome. When the </w:t>
      </w:r>
      <w:r w:rsidR="00134612">
        <w:t xml:space="preserve">domain </w:t>
      </w:r>
      <w:r w:rsidR="00D0030C">
        <w:t xml:space="preserve">is less self-relevant, </w:t>
      </w:r>
      <w:r w:rsidR="00134612">
        <w:t xml:space="preserve">the target’s achievement is less likely to prompt self-evaluation and can instead reflect well on the individual. When the domain is more self-relevant, the target’s achievement is more likely to prompt self-evaluation and the realization that one is falling short on a domain </w:t>
      </w:r>
      <w:r w:rsidR="00820C7B">
        <w:t>essential</w:t>
      </w:r>
      <w:r w:rsidR="00134612">
        <w:t xml:space="preserve"> to one’s self-concept. In other words, as the domain’s self-relevance increases, the target’s achievement becomes more threatening to the individual.</w:t>
      </w:r>
      <w:r w:rsidR="00BC67DD">
        <w:t xml:space="preserve"> </w:t>
      </w:r>
      <w:r w:rsidR="0037780E">
        <w:t>W</w:t>
      </w:r>
      <w:r w:rsidR="00BC67DD">
        <w:t xml:space="preserve">ithin the context of female role models in a counter-stereotypical domain, </w:t>
      </w:r>
      <w:r w:rsidR="00BC67DD" w:rsidRPr="00BC67DD">
        <w:t xml:space="preserve">Betz </w:t>
      </w:r>
      <w:r w:rsidR="001B20AF">
        <w:t>and</w:t>
      </w:r>
      <w:r w:rsidR="00BC67DD" w:rsidRPr="00BC67DD">
        <w:t xml:space="preserve"> </w:t>
      </w:r>
      <w:proofErr w:type="spellStart"/>
      <w:r w:rsidR="00BC67DD" w:rsidRPr="00BC67DD">
        <w:t>Sekaquaptewa</w:t>
      </w:r>
      <w:proofErr w:type="spellEnd"/>
      <w:r w:rsidR="00BC67DD" w:rsidRPr="00BC67DD">
        <w:t xml:space="preserve"> (2012) showed that STEM-disidentified female students (to whom a stereotypical role is more self-relevant) perceived a feminine scientist to be less attainable </w:t>
      </w:r>
      <w:r w:rsidR="00BC67DD">
        <w:t>compared</w:t>
      </w:r>
      <w:r w:rsidR="00BC67DD" w:rsidRPr="00BC67DD">
        <w:t xml:space="preserve"> to STEM-identified students</w:t>
      </w:r>
      <w:r w:rsidR="00BC67DD">
        <w:t xml:space="preserve"> (to whom a stereotypical role is less self-relevant). Thus, our findings are consistent </w:t>
      </w:r>
      <w:r w:rsidR="00BC67DD">
        <w:lastRenderedPageBreak/>
        <w:t xml:space="preserve">with </w:t>
      </w:r>
      <w:r w:rsidR="00134612">
        <w:t>this perspective</w:t>
      </w:r>
      <w:r w:rsidR="00BC67DD">
        <w:t>:</w:t>
      </w:r>
      <w:r w:rsidR="00134612">
        <w:t xml:space="preserve"> </w:t>
      </w:r>
      <w:r w:rsidR="00BC67DD">
        <w:t>W</w:t>
      </w:r>
      <w:r w:rsidR="00134612">
        <w:t>hen the role models’ portrayal was more self-relevant to participants, they present a bigger upward comparison threat to participants. The high attainability message was able to buffer against the less self-relevant threat, but not the more self-relevant one</w:t>
      </w:r>
      <w:r w:rsidR="00BC67DD">
        <w:t xml:space="preserve">. </w:t>
      </w:r>
    </w:p>
    <w:p w14:paraId="119DBA3F" w14:textId="7DBDAF18" w:rsidR="00425533" w:rsidRDefault="008F1498" w:rsidP="00E70436">
      <w:pPr>
        <w:widowControl w:val="0"/>
        <w:ind w:firstLine="720"/>
      </w:pPr>
      <w:r>
        <w:t>In terms of theor</w:t>
      </w:r>
      <w:r w:rsidR="00820C7B">
        <w:t>etical</w:t>
      </w:r>
      <w:r>
        <w:t xml:space="preserve"> contribution</w:t>
      </w:r>
      <w:r w:rsidR="003920A8" w:rsidRPr="003920A8">
        <w:t>, the study connects the literature on role congruity theory and social comparison theory to</w:t>
      </w:r>
      <w:r w:rsidR="00425533">
        <w:t xml:space="preserve"> consider how audience members respond to role model messages</w:t>
      </w:r>
      <w:r>
        <w:t>. Based on this theory integration</w:t>
      </w:r>
      <w:r w:rsidR="00425533">
        <w:t xml:space="preserve">, </w:t>
      </w:r>
      <w:r>
        <w:t xml:space="preserve">the experiment </w:t>
      </w:r>
      <w:r w:rsidR="00425533" w:rsidRPr="00425533">
        <w:t xml:space="preserve">tested </w:t>
      </w:r>
      <w:r w:rsidR="00425533">
        <w:t xml:space="preserve">the effect and boundary condition of </w:t>
      </w:r>
      <w:r w:rsidR="00425533" w:rsidRPr="00425533">
        <w:t>a</w:t>
      </w:r>
      <w:r w:rsidR="00425533">
        <w:t xml:space="preserve"> new</w:t>
      </w:r>
      <w:r w:rsidR="00425533" w:rsidRPr="00425533">
        <w:t xml:space="preserve"> operationalization of perceived attainability in the form of a realistic message</w:t>
      </w:r>
      <w:r w:rsidR="00425533">
        <w:t>. In terms of practical contribution,</w:t>
      </w:r>
      <w:r w:rsidR="003920A8" w:rsidRPr="003920A8">
        <w:t xml:space="preserve"> </w:t>
      </w:r>
      <w:r w:rsidR="00425533">
        <w:t>the findings</w:t>
      </w:r>
      <w:r w:rsidR="00DC1621">
        <w:t xml:space="preserve"> </w:t>
      </w:r>
      <w:r w:rsidR="00BC38D6">
        <w:t>add</w:t>
      </w:r>
      <w:r w:rsidR="007E7A76" w:rsidRPr="007E7A76">
        <w:t xml:space="preserve"> to our understanding of how media role models should be designed and implemented</w:t>
      </w:r>
      <w:r w:rsidR="00501C22">
        <w:t xml:space="preserve">. First, </w:t>
      </w:r>
      <w:r w:rsidR="00BC38D6">
        <w:t xml:space="preserve">they </w:t>
      </w:r>
      <w:r w:rsidR="00BC67DD">
        <w:t xml:space="preserve">emphasize </w:t>
      </w:r>
      <w:r w:rsidR="001C1D36">
        <w:t xml:space="preserve">the importance of </w:t>
      </w:r>
      <w:r w:rsidR="00501C22">
        <w:t xml:space="preserve">increasing </w:t>
      </w:r>
      <w:r w:rsidR="007E7A76">
        <w:t>perceived attainability when successful and</w:t>
      </w:r>
      <w:r w:rsidR="007E7A76" w:rsidRPr="007E7A76">
        <w:t xml:space="preserve"> desirable role models are presented</w:t>
      </w:r>
      <w:r w:rsidR="007E7A76">
        <w:t xml:space="preserve">. Second, </w:t>
      </w:r>
      <w:r w:rsidR="00BC38D6">
        <w:t xml:space="preserve">they </w:t>
      </w:r>
      <w:r w:rsidR="0045534C">
        <w:t xml:space="preserve">underlie </w:t>
      </w:r>
      <w:r w:rsidR="00501C22">
        <w:t xml:space="preserve">the </w:t>
      </w:r>
      <w:r w:rsidR="0045534C">
        <w:t xml:space="preserve">need to </w:t>
      </w:r>
      <w:r w:rsidR="001C1D36">
        <w:t xml:space="preserve">understand individual differences, specifically what </w:t>
      </w:r>
      <w:r w:rsidR="0045534C">
        <w:t xml:space="preserve">women </w:t>
      </w:r>
      <w:r w:rsidR="001C1D36">
        <w:t>consider to be self-relevant</w:t>
      </w:r>
      <w:r w:rsidR="00501C22">
        <w:t xml:space="preserve"> and personally important</w:t>
      </w:r>
      <w:r w:rsidR="001C1D36">
        <w:t xml:space="preserve">. </w:t>
      </w:r>
      <w:r w:rsidR="00501C22">
        <w:t>In the context of women in science, f</w:t>
      </w:r>
      <w:r w:rsidR="00A70E38">
        <w:t>eminine</w:t>
      </w:r>
      <w:r w:rsidR="00B97DE3">
        <w:t xml:space="preserve"> or family</w:t>
      </w:r>
      <w:r w:rsidR="00A70E38">
        <w:t xml:space="preserve"> r</w:t>
      </w:r>
      <w:r w:rsidR="000C57FE">
        <w:t xml:space="preserve">ole models may invoke less perceived incongruity and thus </w:t>
      </w:r>
      <w:r w:rsidR="00CF7A3D">
        <w:t xml:space="preserve">be </w:t>
      </w:r>
      <w:r w:rsidR="000C57FE">
        <w:t>more attractive, especially to women to whom the female gender role or other stereotypical roles are important, but they are also likely to induce a bigger upward comparison threat</w:t>
      </w:r>
      <w:r w:rsidR="00501C22">
        <w:t>, reduc</w:t>
      </w:r>
      <w:r w:rsidR="0045534C">
        <w:t>ing</w:t>
      </w:r>
      <w:r w:rsidR="00501C22">
        <w:t xml:space="preserve"> interest in the stereotypically male, research-oriented careers. </w:t>
      </w:r>
      <w:r w:rsidR="005630CA" w:rsidRPr="005630CA">
        <w:t xml:space="preserve">Thus, communication strategies using media role models may want to avoid </w:t>
      </w:r>
      <w:r w:rsidR="0001064E" w:rsidRPr="0001064E">
        <w:t xml:space="preserve">portrayal of extremely accomplished individuals in </w:t>
      </w:r>
      <w:r w:rsidR="0001064E">
        <w:t>the most self-relevant domain</w:t>
      </w:r>
      <w:r w:rsidR="0001064E" w:rsidRPr="0001064E">
        <w:t xml:space="preserve"> to avoid invoking a strong upward comparison threat</w:t>
      </w:r>
      <w:r w:rsidR="0001064E">
        <w:t>;</w:t>
      </w:r>
      <w:r w:rsidR="005630CA" w:rsidRPr="005630CA">
        <w:t xml:space="preserve"> or use a s</w:t>
      </w:r>
      <w:r w:rsidR="00A44727">
        <w:t xml:space="preserve">tronger attainability induction, </w:t>
      </w:r>
      <w:r w:rsidR="005630CA" w:rsidRPr="005630CA">
        <w:t>such as tailored messaging (</w:t>
      </w:r>
      <w:proofErr w:type="spellStart"/>
      <w:r w:rsidR="005630CA" w:rsidRPr="005630CA">
        <w:t>Kreuter</w:t>
      </w:r>
      <w:proofErr w:type="spellEnd"/>
      <w:r w:rsidR="005630CA" w:rsidRPr="005630CA">
        <w:t xml:space="preserve"> &amp; Wray, 2003) and transitional chara</w:t>
      </w:r>
      <w:r w:rsidR="00050EF0">
        <w:t>cters (Vaughan &amp; Rogers, 2000)</w:t>
      </w:r>
      <w:r w:rsidR="00820C7B">
        <w:t xml:space="preserve"> </w:t>
      </w:r>
      <w:r w:rsidR="005630CA" w:rsidRPr="005630CA">
        <w:t xml:space="preserve">to help women overcome the </w:t>
      </w:r>
      <w:r w:rsidR="0001064E">
        <w:t>stronger</w:t>
      </w:r>
      <w:r w:rsidR="005630CA" w:rsidRPr="005630CA">
        <w:t xml:space="preserve"> upward comparison threat from female role models in a self-relevant domain. </w:t>
      </w:r>
    </w:p>
    <w:p w14:paraId="6AFEC50C" w14:textId="6A579950" w:rsidR="003F732D" w:rsidRDefault="005630CA" w:rsidP="00E70436">
      <w:pPr>
        <w:widowControl w:val="0"/>
        <w:ind w:firstLine="720"/>
      </w:pPr>
      <w:r w:rsidRPr="005630CA">
        <w:t>Tailored messaging</w:t>
      </w:r>
      <w:r w:rsidR="006F3DE4">
        <w:t xml:space="preserve"> </w:t>
      </w:r>
      <w:r w:rsidRPr="005630CA">
        <w:t>can increase the perceived similarity between t</w:t>
      </w:r>
      <w:r w:rsidR="0001064E">
        <w:t xml:space="preserve">he audience and the role models </w:t>
      </w:r>
      <w:r w:rsidR="0001064E" w:rsidRPr="0001064E">
        <w:t xml:space="preserve">while avoiding role models that are so successful in the most self-relevant domain </w:t>
      </w:r>
      <w:r w:rsidR="0001064E" w:rsidRPr="0001064E">
        <w:lastRenderedPageBreak/>
        <w:t>that they become intimidating</w:t>
      </w:r>
      <w:r w:rsidR="00BC38D6">
        <w:t>.</w:t>
      </w:r>
      <w:r w:rsidR="005C5BE7">
        <w:t xml:space="preserve"> </w:t>
      </w:r>
      <w:r w:rsidRPr="005630CA">
        <w:t>Transitional characters</w:t>
      </w:r>
      <w:r w:rsidR="00820C7B">
        <w:t xml:space="preserve"> </w:t>
      </w:r>
      <w:r w:rsidRPr="005630CA">
        <w:t xml:space="preserve">– </w:t>
      </w:r>
      <w:r w:rsidR="00820C7B">
        <w:t>for example,</w:t>
      </w:r>
      <w:r w:rsidR="00820C7B" w:rsidRPr="005630CA">
        <w:t xml:space="preserve"> </w:t>
      </w:r>
      <w:r w:rsidRPr="005630CA">
        <w:t>portrayals of female researchers who start out struggling to balance career and family</w:t>
      </w:r>
      <w:r w:rsidR="00820C7B">
        <w:t xml:space="preserve"> </w:t>
      </w:r>
      <w:r w:rsidRPr="005630CA">
        <w:t>and gradually become better at handling both– can show</w:t>
      </w:r>
      <w:r w:rsidR="00820C7B">
        <w:t xml:space="preserve"> </w:t>
      </w:r>
      <w:r w:rsidRPr="005630CA">
        <w:t>that even successful people struggle sometimes, mak</w:t>
      </w:r>
      <w:r w:rsidR="00820C7B">
        <w:t xml:space="preserve">e </w:t>
      </w:r>
      <w:r w:rsidRPr="005630CA">
        <w:t xml:space="preserve">the role models more relatable, </w:t>
      </w:r>
      <w:r w:rsidR="00820C7B">
        <w:t>and</w:t>
      </w:r>
      <w:r w:rsidRPr="005630CA">
        <w:t xml:space="preserve"> provide the audience with specific instructions as to how to effectively balance both roles. Transitional role model</w:t>
      </w:r>
      <w:r w:rsidR="00820C7B">
        <w:t>s</w:t>
      </w:r>
      <w:r w:rsidRPr="005630CA">
        <w:t xml:space="preserve"> can also overcome a potential shortcoming of the current approach: Depictions of role models who seemingly can handle both roles without difficulty may not accurately portray the reality of being a woman in science, and such perception may lead to job dissatisfaction and discontinuation. </w:t>
      </w:r>
      <w:r w:rsidR="00050EF0" w:rsidRPr="00050EF0">
        <w:t>Future studies should directly examine the role of self-relevance within this context</w:t>
      </w:r>
      <w:r w:rsidR="00050EF0">
        <w:t xml:space="preserve"> and test the impact of these message features.</w:t>
      </w:r>
      <w:r w:rsidR="00050EF0" w:rsidRPr="00050EF0">
        <w:t xml:space="preserve"> </w:t>
      </w:r>
      <w:r w:rsidRPr="005630CA">
        <w:t>Finally, more research is needed to fully understand the implications of the message features tested in this study for campaigns and interventions.</w:t>
      </w:r>
    </w:p>
    <w:p w14:paraId="4ADA461C" w14:textId="3DA18B5F" w:rsidR="00501C22" w:rsidRDefault="00501C22" w:rsidP="00E70436">
      <w:pPr>
        <w:widowControl w:val="0"/>
        <w:ind w:firstLine="720"/>
      </w:pPr>
      <w:r>
        <w:t>More generally, t</w:t>
      </w:r>
      <w:r w:rsidRPr="00501C22">
        <w:t xml:space="preserve">his notion carries important implications for the use of role models in </w:t>
      </w:r>
      <w:r>
        <w:t xml:space="preserve">other communication </w:t>
      </w:r>
      <w:r w:rsidR="001A5E56">
        <w:t xml:space="preserve">contexts </w:t>
      </w:r>
      <w:r w:rsidRPr="00501C22">
        <w:t>to encourage health behaviors (Lee &amp; Shapiro, 2015), risk-mitigation behaviors (Keller &amp; Brown, 2002), and academic engagement and performance (Zirkel, 2002). It is especially pertinent because low perceived attainability to a desired target has been shown to be one of the factors leading to decreased physical and psychological well-being (</w:t>
      </w:r>
      <w:proofErr w:type="spellStart"/>
      <w:r w:rsidRPr="00501C22">
        <w:t>Kuijer</w:t>
      </w:r>
      <w:proofErr w:type="spellEnd"/>
      <w:r w:rsidRPr="00501C22">
        <w:t xml:space="preserve"> &amp; De Ridder, 2003), </w:t>
      </w:r>
      <w:r w:rsidR="00EE440A">
        <w:t xml:space="preserve">and </w:t>
      </w:r>
      <w:r w:rsidRPr="00501C22">
        <w:t>negative affect and body image issues (Strahan, Wi</w:t>
      </w:r>
      <w:r w:rsidR="00EE440A">
        <w:t xml:space="preserve">lson, </w:t>
      </w:r>
      <w:proofErr w:type="spellStart"/>
      <w:r w:rsidR="00EE440A">
        <w:t>Cressman</w:t>
      </w:r>
      <w:proofErr w:type="spellEnd"/>
      <w:r w:rsidR="00EE440A">
        <w:t xml:space="preserve">, &amp; </w:t>
      </w:r>
      <w:proofErr w:type="spellStart"/>
      <w:r w:rsidR="00EE440A">
        <w:t>Buote</w:t>
      </w:r>
      <w:proofErr w:type="spellEnd"/>
      <w:r w:rsidR="00EE440A">
        <w:t xml:space="preserve">, 2006). </w:t>
      </w:r>
      <w:r w:rsidRPr="00501C22">
        <w:t xml:space="preserve">Understanding the psychological processes underlying audience’s responses as well as what message features </w:t>
      </w:r>
      <w:r w:rsidR="00191B2C">
        <w:t xml:space="preserve">and individual characteristics </w:t>
      </w:r>
      <w:r w:rsidRPr="00501C22">
        <w:t>are likely to prompt what kind of responses can allow us to create more effective messages for our purposes.</w:t>
      </w:r>
    </w:p>
    <w:p w14:paraId="1CB99AE7" w14:textId="49B9E630" w:rsidR="00587A20" w:rsidRDefault="00DF504F" w:rsidP="00E70436">
      <w:pPr>
        <w:widowControl w:val="0"/>
        <w:ind w:firstLine="720"/>
      </w:pPr>
      <w:r>
        <w:t xml:space="preserve">Limitations of the study include the use of a non-representative sample, </w:t>
      </w:r>
      <w:r w:rsidR="008F5B2C">
        <w:t xml:space="preserve">a moderate </w:t>
      </w:r>
      <w:r>
        <w:t xml:space="preserve">operationalization of perceived attainability, </w:t>
      </w:r>
      <w:r w:rsidR="00B015A4">
        <w:t xml:space="preserve">the use of a two-item measure for career interest, </w:t>
      </w:r>
      <w:r>
        <w:t>the potential short-term effect of our messages</w:t>
      </w:r>
      <w:r w:rsidR="00587A20">
        <w:t xml:space="preserve">, and the lack of consideration for a developmental </w:t>
      </w:r>
      <w:r w:rsidR="00587A20">
        <w:lastRenderedPageBreak/>
        <w:t>perspective</w:t>
      </w:r>
      <w:r>
        <w:t>.</w:t>
      </w:r>
      <w:r w:rsidR="00865963">
        <w:t xml:space="preserve"> </w:t>
      </w:r>
      <w:r w:rsidR="004611F5">
        <w:t>Our sample was composed</w:t>
      </w:r>
      <w:r w:rsidR="00865963" w:rsidRPr="00865963">
        <w:t xml:space="preserve"> female </w:t>
      </w:r>
      <w:r w:rsidR="00F20352">
        <w:t>professional</w:t>
      </w:r>
      <w:r w:rsidR="00F20352" w:rsidRPr="00865963">
        <w:t xml:space="preserve"> </w:t>
      </w:r>
      <w:r w:rsidR="00865963" w:rsidRPr="00865963">
        <w:t xml:space="preserve">students, who </w:t>
      </w:r>
      <w:r w:rsidR="00F20352">
        <w:t>were</w:t>
      </w:r>
      <w:r w:rsidR="00F20352" w:rsidRPr="00865963">
        <w:t xml:space="preserve"> </w:t>
      </w:r>
      <w:r w:rsidR="00865963" w:rsidRPr="00865963">
        <w:t xml:space="preserve">part of </w:t>
      </w:r>
      <w:r w:rsidR="004611F5">
        <w:t>the</w:t>
      </w:r>
      <w:r w:rsidR="00865963" w:rsidRPr="00865963">
        <w:t xml:space="preserve"> target </w:t>
      </w:r>
      <w:r w:rsidR="004611F5">
        <w:t>audience</w:t>
      </w:r>
      <w:r w:rsidR="00865963" w:rsidRPr="00865963">
        <w:t xml:space="preserve">: young women who </w:t>
      </w:r>
      <w:r w:rsidR="004611F5">
        <w:t>are</w:t>
      </w:r>
      <w:r w:rsidR="00F20352">
        <w:t xml:space="preserve"> </w:t>
      </w:r>
      <w:r w:rsidR="00F20352" w:rsidRPr="00F20352">
        <w:t>completing their higher education</w:t>
      </w:r>
      <w:r w:rsidR="00F20352">
        <w:t xml:space="preserve"> in STEM fields and</w:t>
      </w:r>
      <w:r w:rsidR="004611F5">
        <w:t xml:space="preserve"> actively making</w:t>
      </w:r>
      <w:r w:rsidR="00865963" w:rsidRPr="00865963">
        <w:t xml:space="preserve"> career decisions in their immediate future. </w:t>
      </w:r>
      <w:r w:rsidR="0045534C">
        <w:t>Still</w:t>
      </w:r>
      <w:r w:rsidR="00865963" w:rsidRPr="00865963">
        <w:t xml:space="preserve">, </w:t>
      </w:r>
      <w:r w:rsidR="004611F5">
        <w:t xml:space="preserve">female students in </w:t>
      </w:r>
      <w:r w:rsidR="0045534C">
        <w:t>one</w:t>
      </w:r>
      <w:r w:rsidR="00865963" w:rsidRPr="00865963">
        <w:t xml:space="preserve"> veterinary medicine </w:t>
      </w:r>
      <w:r w:rsidR="004611F5">
        <w:t>program in the Midwest</w:t>
      </w:r>
      <w:r w:rsidR="00865963" w:rsidRPr="00865963">
        <w:t xml:space="preserve"> are not </w:t>
      </w:r>
      <w:r w:rsidR="004611F5">
        <w:t xml:space="preserve">representative of all women </w:t>
      </w:r>
      <w:r w:rsidR="00587A20">
        <w:t>with various</w:t>
      </w:r>
      <w:r w:rsidR="004611F5">
        <w:t xml:space="preserve"> individual differences, which may affect how the messages are processed and interpreted. </w:t>
      </w:r>
      <w:r w:rsidR="00436638">
        <w:t xml:space="preserve">Additionally, </w:t>
      </w:r>
      <w:r w:rsidR="00F20352">
        <w:t xml:space="preserve">there was not a substantial difference between the </w:t>
      </w:r>
      <w:r w:rsidR="00436638">
        <w:t>low</w:t>
      </w:r>
      <w:r w:rsidR="00F20352">
        <w:t xml:space="preserve"> and the high</w:t>
      </w:r>
      <w:r w:rsidR="00436638">
        <w:t xml:space="preserve"> attainability message</w:t>
      </w:r>
      <w:r w:rsidR="00F20352">
        <w:t>: Although</w:t>
      </w:r>
      <w:r w:rsidR="00436638">
        <w:t xml:space="preserve"> the stimuli pretest showed significant difference between versions, </w:t>
      </w:r>
      <w:r w:rsidR="00F20352">
        <w:t>they only differed by one point on a scale of 1-7 (</w:t>
      </w:r>
      <w:r w:rsidR="00F20352" w:rsidRPr="00680944">
        <w:rPr>
          <w:i/>
        </w:rPr>
        <w:t>M</w:t>
      </w:r>
      <w:r w:rsidR="00F20352">
        <w:t xml:space="preserve"> = </w:t>
      </w:r>
      <w:r w:rsidR="0045534C">
        <w:t>5.04</w:t>
      </w:r>
      <w:r w:rsidR="00F20352">
        <w:t xml:space="preserve"> for high and </w:t>
      </w:r>
      <w:r w:rsidR="00F20352" w:rsidRPr="00680944">
        <w:rPr>
          <w:i/>
        </w:rPr>
        <w:t>M</w:t>
      </w:r>
      <w:r w:rsidR="00F20352">
        <w:t xml:space="preserve"> = 3.91 for low), and </w:t>
      </w:r>
      <w:r w:rsidR="008F5B2C">
        <w:t xml:space="preserve">the low attainability version </w:t>
      </w:r>
      <w:r w:rsidR="0045534C">
        <w:t xml:space="preserve">was </w:t>
      </w:r>
      <w:r w:rsidR="00436638">
        <w:t xml:space="preserve">moderately attainable. </w:t>
      </w:r>
      <w:r w:rsidR="00F20352">
        <w:t xml:space="preserve">Because the focus of the study </w:t>
      </w:r>
      <w:r w:rsidR="00D66662">
        <w:t>was</w:t>
      </w:r>
      <w:r w:rsidR="00F20352">
        <w:t xml:space="preserve"> on message strategies </w:t>
      </w:r>
      <w:r w:rsidR="007A2879">
        <w:t>that can be easily utilized in a communication campaign</w:t>
      </w:r>
      <w:r w:rsidR="00D66662">
        <w:t xml:space="preserve"> to influence women’s career decisions, the comparison was made between a regular career information sheet that the target audience would realistic encounter and a career sheet designed to increase perceived attainability. Still</w:t>
      </w:r>
      <w:r w:rsidR="00436638">
        <w:t xml:space="preserve">, while our operationalization was more </w:t>
      </w:r>
      <w:r w:rsidR="00D66662">
        <w:t xml:space="preserve">appropriate for </w:t>
      </w:r>
      <w:r w:rsidR="00436638">
        <w:t>th</w:t>
      </w:r>
      <w:r w:rsidR="00D66662">
        <w:t>is</w:t>
      </w:r>
      <w:r w:rsidR="00436638">
        <w:t xml:space="preserve"> context</w:t>
      </w:r>
      <w:r w:rsidR="00D66662">
        <w:t xml:space="preserve">, </w:t>
      </w:r>
      <w:r w:rsidR="00436638">
        <w:t>it did not maximize the difference in perceived attainability</w:t>
      </w:r>
      <w:r w:rsidR="00D66662">
        <w:t xml:space="preserve"> between conditions</w:t>
      </w:r>
      <w:r w:rsidR="00436638">
        <w:t xml:space="preserve">. </w:t>
      </w:r>
      <w:r w:rsidR="00D66662">
        <w:t xml:space="preserve">Future studies should include a no-message </w:t>
      </w:r>
      <w:proofErr w:type="gramStart"/>
      <w:r w:rsidR="00D66662">
        <w:t>condition</w:t>
      </w:r>
      <w:proofErr w:type="gramEnd"/>
      <w:r w:rsidR="00D66662">
        <w:t xml:space="preserve"> or a condition designed to more drastically lower perceived attainability, </w:t>
      </w:r>
      <w:r w:rsidR="00275C00">
        <w:t xml:space="preserve">as well as </w:t>
      </w:r>
      <w:r w:rsidR="00D66662">
        <w:t xml:space="preserve">examine other message features that can more strongly induce it as mentioned above. </w:t>
      </w:r>
    </w:p>
    <w:p w14:paraId="177853BB" w14:textId="12F53ABB" w:rsidR="00DF504F" w:rsidRDefault="004A55C9" w:rsidP="00E70436">
      <w:pPr>
        <w:widowControl w:val="0"/>
        <w:ind w:firstLine="720"/>
      </w:pPr>
      <w:r>
        <w:t>Further</w:t>
      </w:r>
      <w:r w:rsidR="002254E2">
        <w:t>,</w:t>
      </w:r>
      <w:r w:rsidR="00B015A4">
        <w:t xml:space="preserve"> career interest was measured with only two items. Future research may consider using an established, validated scale to better assess participants’ interest in counter-stereotypical careers. In addition,</w:t>
      </w:r>
      <w:r w:rsidR="002254E2">
        <w:t xml:space="preserve"> the effect</w:t>
      </w:r>
      <w:r w:rsidR="00654BF3">
        <w:t>s</w:t>
      </w:r>
      <w:r w:rsidR="002254E2">
        <w:t xml:space="preserve"> of one attainability message and three </w:t>
      </w:r>
      <w:proofErr w:type="gramStart"/>
      <w:r w:rsidR="002254E2">
        <w:t>role</w:t>
      </w:r>
      <w:proofErr w:type="gramEnd"/>
      <w:r w:rsidR="002254E2">
        <w:t xml:space="preserve"> models </w:t>
      </w:r>
      <w:r w:rsidR="00D66662">
        <w:t>messages</w:t>
      </w:r>
      <w:r w:rsidR="002254E2">
        <w:t xml:space="preserve"> may be short-lived, especially </w:t>
      </w:r>
      <w:r w:rsidR="00905E1F">
        <w:t xml:space="preserve">when they have to compete with </w:t>
      </w:r>
      <w:r w:rsidR="002254E2">
        <w:t>a media environment in which women are heavily portrayed in stereotypical roles only (</w:t>
      </w:r>
      <w:r w:rsidR="00693B2D">
        <w:t>Women’s Media Center, 2015</w:t>
      </w:r>
      <w:r w:rsidR="002254E2">
        <w:t>)</w:t>
      </w:r>
      <w:r w:rsidR="0045534C">
        <w:t xml:space="preserve">. </w:t>
      </w:r>
      <w:r>
        <w:t>Finally</w:t>
      </w:r>
      <w:r w:rsidR="00587A20">
        <w:t xml:space="preserve">, the pretest-posttest experimental design </w:t>
      </w:r>
      <w:r>
        <w:t xml:space="preserve">with one message exposure </w:t>
      </w:r>
      <w:r w:rsidR="00587A20">
        <w:t xml:space="preserve">of the current study cannot fully examine the much more complex process of </w:t>
      </w:r>
      <w:r>
        <w:t xml:space="preserve">career interest development that occurs throughout </w:t>
      </w:r>
      <w:r>
        <w:lastRenderedPageBreak/>
        <w:t>the adolescent and young adulthood periods. Thus, the effect</w:t>
      </w:r>
      <w:r w:rsidR="00654BF3">
        <w:t>s</w:t>
      </w:r>
      <w:r>
        <w:t xml:space="preserve"> found here </w:t>
      </w:r>
      <w:r w:rsidR="00654BF3">
        <w:t>also need to be considered in conjunction with other important developmental factors.</w:t>
      </w:r>
    </w:p>
    <w:p w14:paraId="36543457" w14:textId="31A32CAA" w:rsidR="00D7379E" w:rsidRDefault="00623D5E" w:rsidP="00E70436">
      <w:pPr>
        <w:widowControl w:val="0"/>
        <w:ind w:firstLine="720"/>
      </w:pPr>
      <w:r>
        <w:t>The issue of female underrepresentation in STEM fields</w:t>
      </w:r>
      <w:r w:rsidR="00191B2C">
        <w:t>, especially in research-oriented careers,</w:t>
      </w:r>
      <w:r>
        <w:t xml:space="preserve"> is both persistent and complex, caused by </w:t>
      </w:r>
      <w:r w:rsidR="00275C00">
        <w:t>many</w:t>
      </w:r>
      <w:r>
        <w:t xml:space="preserve"> social factors</w:t>
      </w:r>
      <w:r w:rsidR="00940C38">
        <w:t xml:space="preserve">. It thus requires attention and </w:t>
      </w:r>
      <w:r w:rsidR="00DD6DDB">
        <w:t xml:space="preserve">insight gained </w:t>
      </w:r>
      <w:r w:rsidR="00940C38">
        <w:t xml:space="preserve">from </w:t>
      </w:r>
      <w:r w:rsidR="00275C00">
        <w:t xml:space="preserve">various </w:t>
      </w:r>
      <w:r w:rsidR="00940C38">
        <w:t>disciplines</w:t>
      </w:r>
      <w:r w:rsidR="00DD6DDB">
        <w:t>, as well as a concerted effort from multiple social institutions.</w:t>
      </w:r>
      <w:r w:rsidR="00940C38">
        <w:t xml:space="preserve"> </w:t>
      </w:r>
      <w:r>
        <w:t xml:space="preserve">From a communication perspective, while the focus of this study is a more effective use of </w:t>
      </w:r>
      <w:r w:rsidR="005C5364">
        <w:t>media</w:t>
      </w:r>
      <w:r>
        <w:t xml:space="preserve"> role models considering the theoretical frameworks of role congruity and social comparison, we acknowledge the crucial role of the overall media environment in reinforcing gender roles and stereotypes, and that message</w:t>
      </w:r>
      <w:r w:rsidR="00275C00">
        <w:t>s</w:t>
      </w:r>
      <w:r>
        <w:t xml:space="preserve"> from campaigns and interventions may be diluted by </w:t>
      </w:r>
      <w:r w:rsidR="00275C00">
        <w:t xml:space="preserve">these </w:t>
      </w:r>
      <w:r>
        <w:t xml:space="preserve">portrayals of women. Other personal and </w:t>
      </w:r>
      <w:r w:rsidRPr="00623D5E">
        <w:t xml:space="preserve">institutional </w:t>
      </w:r>
      <w:r>
        <w:t xml:space="preserve">factors, such as partner’s support, social norms, </w:t>
      </w:r>
      <w:r w:rsidR="00DD6DDB">
        <w:t xml:space="preserve">career and promotion opportunities, and </w:t>
      </w:r>
      <w:r>
        <w:t xml:space="preserve">laws and regulations regarding women’s issues, also play an important role in women’s </w:t>
      </w:r>
      <w:r w:rsidR="00275C00">
        <w:t>career decisions</w:t>
      </w:r>
      <w:r>
        <w:t xml:space="preserve">. This line of research </w:t>
      </w:r>
      <w:r w:rsidR="00191B2C">
        <w:t xml:space="preserve">aims to be </w:t>
      </w:r>
      <w:r>
        <w:t>par</w:t>
      </w:r>
      <w:r w:rsidR="00A04129">
        <w:t xml:space="preserve">t of the effort to bring more women into </w:t>
      </w:r>
      <w:r w:rsidR="00275C00">
        <w:t xml:space="preserve">STEM </w:t>
      </w:r>
      <w:r w:rsidR="00A04129">
        <w:t>fields where their skills and talents can be better used.</w:t>
      </w:r>
      <w:r w:rsidR="00DD6DDB">
        <w:t xml:space="preserve"> </w:t>
      </w:r>
      <w:r w:rsidR="00275C00">
        <w:t>These</w:t>
      </w:r>
      <w:r w:rsidR="00275C00" w:rsidRPr="00DD6DDB">
        <w:t xml:space="preserve"> </w:t>
      </w:r>
      <w:r w:rsidR="00DD6DDB" w:rsidRPr="00DD6DDB">
        <w:t>fields are vital to the progress and development worldwide, the lack women’s part</w:t>
      </w:r>
      <w:r w:rsidR="00DD6DDB">
        <w:t>icipation costs us all a lot of</w:t>
      </w:r>
      <w:r w:rsidR="00DD6DDB" w:rsidRPr="00DD6DDB">
        <w:t xml:space="preserve"> human resources</w:t>
      </w:r>
      <w:r w:rsidR="00DD6DDB">
        <w:t xml:space="preserve"> and expertise</w:t>
      </w:r>
      <w:r w:rsidR="00DD6DDB" w:rsidRPr="00DD6DDB">
        <w:t>. As the United Nations declared, “the world needs science, and science needs women” (UN News Center, 2017).</w:t>
      </w:r>
      <w:r w:rsidR="00D7379E">
        <w:br w:type="page"/>
      </w:r>
    </w:p>
    <w:p w14:paraId="5768C0DA" w14:textId="77777777" w:rsidR="008565BF" w:rsidRDefault="008565BF" w:rsidP="00E70436">
      <w:pPr>
        <w:pStyle w:val="Heading1"/>
        <w:widowControl w:val="0"/>
        <w:spacing w:beforeAutospacing="0" w:afterAutospacing="0" w:line="480" w:lineRule="auto"/>
      </w:pPr>
      <w:r>
        <w:lastRenderedPageBreak/>
        <w:t>References</w:t>
      </w:r>
    </w:p>
    <w:p w14:paraId="68BB3D77" w14:textId="77777777" w:rsidR="008565BF" w:rsidRDefault="008565BF" w:rsidP="00E70436">
      <w:pPr>
        <w:widowControl w:val="0"/>
        <w:ind w:left="720" w:hanging="720"/>
      </w:pPr>
      <w:bookmarkStart w:id="9" w:name="_Hlk516589553"/>
      <w:proofErr w:type="spellStart"/>
      <w:r w:rsidRPr="00FB3F85">
        <w:t>Amatea</w:t>
      </w:r>
      <w:bookmarkEnd w:id="9"/>
      <w:proofErr w:type="spellEnd"/>
      <w:r w:rsidRPr="00FB3F85">
        <w:t xml:space="preserve">, E. S., Cross, E. G., Clark, J. E., &amp; Bobby, C. L. (1986). Assessing the work and family role expectations of career-oriented men and women: The life role salience scales. </w:t>
      </w:r>
      <w:r w:rsidRPr="00FB3F85">
        <w:rPr>
          <w:i/>
          <w:iCs/>
        </w:rPr>
        <w:t>Journal of Marriage and the Family</w:t>
      </w:r>
      <w:r>
        <w:rPr>
          <w:i/>
          <w:iCs/>
        </w:rPr>
        <w:t>, 48</w:t>
      </w:r>
      <w:r w:rsidRPr="00FB3F85">
        <w:t>, 831-838.</w:t>
      </w:r>
      <w:r>
        <w:t xml:space="preserve"> </w:t>
      </w:r>
      <w:r w:rsidRPr="00FB3F85">
        <w:t>doi:10.2307/352576</w:t>
      </w:r>
    </w:p>
    <w:p w14:paraId="7231E900" w14:textId="77777777" w:rsidR="007541D3" w:rsidRDefault="007541D3" w:rsidP="00E70436">
      <w:pPr>
        <w:widowControl w:val="0"/>
        <w:ind w:left="720" w:hanging="720"/>
      </w:pPr>
      <w:r w:rsidRPr="007541D3">
        <w:t xml:space="preserve">Archer, L., DeWitt, J., Osborne, J., Dillon, J., Willis, B., &amp; Wong, B. (2013). ‘Not girly, not sexy, not glamorous’: Primary school girls’ and parents’ constructions of science aspirations. </w:t>
      </w:r>
      <w:r w:rsidRPr="007541D3">
        <w:rPr>
          <w:i/>
        </w:rPr>
        <w:t>Pedagogy, Culture &amp; Society, 21</w:t>
      </w:r>
      <w:r w:rsidRPr="007541D3">
        <w:t>, 171-194.</w:t>
      </w:r>
      <w:r w:rsidR="00B506B9">
        <w:t xml:space="preserve"> </w:t>
      </w:r>
      <w:r w:rsidR="00B506B9" w:rsidRPr="00B506B9">
        <w:t>doi:10.1080/14681366.20</w:t>
      </w:r>
      <w:r w:rsidR="00E26C6A">
        <w:t>12.748676</w:t>
      </w:r>
    </w:p>
    <w:p w14:paraId="7FC49EFB" w14:textId="77777777" w:rsidR="00E26C6A" w:rsidRDefault="00E26C6A" w:rsidP="00E70436">
      <w:pPr>
        <w:widowControl w:val="0"/>
        <w:ind w:left="720" w:hanging="720"/>
      </w:pPr>
      <w:r>
        <w:t xml:space="preserve">AVMA (2017). </w:t>
      </w:r>
      <w:r>
        <w:rPr>
          <w:i/>
        </w:rPr>
        <w:t xml:space="preserve">Economic Report. </w:t>
      </w:r>
      <w:r>
        <w:t xml:space="preserve">Retrieved from </w:t>
      </w:r>
      <w:r w:rsidRPr="003112A6">
        <w:t>https://www.avma.org/PracticeManagement/</w:t>
      </w:r>
      <w:r>
        <w:t xml:space="preserve"> </w:t>
      </w:r>
      <w:proofErr w:type="spellStart"/>
      <w:r w:rsidRPr="003112A6">
        <w:t>BusinessIssues</w:t>
      </w:r>
      <w:proofErr w:type="spellEnd"/>
      <w:r w:rsidRPr="003112A6">
        <w:t>/</w:t>
      </w:r>
      <w:r>
        <w:t xml:space="preserve"> </w:t>
      </w:r>
      <w:r w:rsidRPr="003112A6">
        <w:t>Documents/ACLAM-ASLAP-Econ-Report-2017.pdf</w:t>
      </w:r>
      <w:r>
        <w:t>.</w:t>
      </w:r>
    </w:p>
    <w:p w14:paraId="5A2951DA" w14:textId="77777777" w:rsidR="00552C61" w:rsidRDefault="007541D3" w:rsidP="00E70436">
      <w:pPr>
        <w:widowControl w:val="0"/>
        <w:ind w:left="720" w:hanging="720"/>
      </w:pPr>
      <w:proofErr w:type="spellStart"/>
      <w:r w:rsidRPr="007541D3">
        <w:t>Banchefsky</w:t>
      </w:r>
      <w:proofErr w:type="spellEnd"/>
      <w:r w:rsidRPr="007541D3">
        <w:t xml:space="preserve">, S., Westfall, J., Park, B., &amp; Judd, C. M. (2016). But you don’t look like a </w:t>
      </w:r>
      <w:proofErr w:type="gramStart"/>
      <w:r w:rsidRPr="007541D3">
        <w:t>scientist!:</w:t>
      </w:r>
      <w:proofErr w:type="gramEnd"/>
      <w:r w:rsidRPr="007541D3">
        <w:t xml:space="preserve"> Women scientists with feminine appearance are deemed less likely to be scientists. </w:t>
      </w:r>
      <w:r w:rsidRPr="007541D3">
        <w:rPr>
          <w:i/>
        </w:rPr>
        <w:t>Sex Roles, 75</w:t>
      </w:r>
      <w:r w:rsidRPr="007541D3">
        <w:t>, 95-109.</w:t>
      </w:r>
      <w:r w:rsidR="00B506B9">
        <w:t xml:space="preserve"> </w:t>
      </w:r>
      <w:r w:rsidR="00B506B9" w:rsidRPr="00B506B9">
        <w:t>doi:10.1007/s11199-016-0586-1</w:t>
      </w:r>
    </w:p>
    <w:p w14:paraId="7E35F4A7" w14:textId="77777777" w:rsidR="008565BF" w:rsidRPr="007A772F" w:rsidRDefault="008565BF" w:rsidP="00E70436">
      <w:pPr>
        <w:widowControl w:val="0"/>
        <w:ind w:left="720" w:hanging="720"/>
      </w:pPr>
      <w:r w:rsidRPr="00400035">
        <w:t xml:space="preserve">Betz, D. E., &amp; </w:t>
      </w:r>
      <w:proofErr w:type="spellStart"/>
      <w:r w:rsidRPr="00400035">
        <w:t>Sekaquaptewa</w:t>
      </w:r>
      <w:proofErr w:type="spellEnd"/>
      <w:r w:rsidRPr="00400035">
        <w:t xml:space="preserve">, D. (2012). </w:t>
      </w:r>
      <w:r w:rsidRPr="007A772F">
        <w:t xml:space="preserve">My fair physicist? Feminine math and science role models </w:t>
      </w:r>
      <w:proofErr w:type="gramStart"/>
      <w:r w:rsidRPr="007A772F">
        <w:t>demotivate</w:t>
      </w:r>
      <w:proofErr w:type="gramEnd"/>
      <w:r w:rsidRPr="007A772F">
        <w:t xml:space="preserve"> young girls. </w:t>
      </w:r>
      <w:r>
        <w:rPr>
          <w:i/>
          <w:iCs/>
        </w:rPr>
        <w:t>Social Psychological and Personality S</w:t>
      </w:r>
      <w:r w:rsidRPr="007A772F">
        <w:rPr>
          <w:i/>
          <w:iCs/>
        </w:rPr>
        <w:t>cience</w:t>
      </w:r>
      <w:r w:rsidRPr="007A772F">
        <w:t xml:space="preserve">, </w:t>
      </w:r>
      <w:r w:rsidRPr="007A772F">
        <w:rPr>
          <w:i/>
          <w:iCs/>
        </w:rPr>
        <w:t>3</w:t>
      </w:r>
      <w:r w:rsidRPr="007A772F">
        <w:t>, 738-746.</w:t>
      </w:r>
      <w:r>
        <w:t xml:space="preserve"> </w:t>
      </w:r>
      <w:r w:rsidRPr="007A772F">
        <w:t>doi:10.1177/1948550612440735</w:t>
      </w:r>
    </w:p>
    <w:p w14:paraId="1737B531" w14:textId="77777777" w:rsidR="007A2879" w:rsidRDefault="007A2879">
      <w:pPr>
        <w:widowControl w:val="0"/>
        <w:ind w:left="720" w:hanging="720"/>
      </w:pPr>
      <w:r w:rsidRPr="007A2879">
        <w:t xml:space="preserve">Chiu, L. S. (2010). Veterinarian scientists bring unique perspectives to translational research. </w:t>
      </w:r>
      <w:r w:rsidRPr="007A2879">
        <w:rPr>
          <w:i/>
        </w:rPr>
        <w:t>Science</w:t>
      </w:r>
      <w:r w:rsidRPr="007A2879">
        <w:t xml:space="preserve">. </w:t>
      </w:r>
      <w:proofErr w:type="gramStart"/>
      <w:r w:rsidRPr="007A2879">
        <w:t>doi:10.1126/science.caredit.a</w:t>
      </w:r>
      <w:proofErr w:type="gramEnd"/>
      <w:r w:rsidRPr="007A2879">
        <w:t>1000070</w:t>
      </w:r>
    </w:p>
    <w:p w14:paraId="4F2ED4D1" w14:textId="77777777" w:rsidR="008565BF" w:rsidRDefault="008565BF" w:rsidP="00E70436">
      <w:pPr>
        <w:widowControl w:val="0"/>
        <w:ind w:left="720" w:hanging="720"/>
      </w:pPr>
      <w:r w:rsidRPr="00530759">
        <w:t>Davison, H. K., &amp; Burke, M. J. (2000). Sex discrimination in simulated</w:t>
      </w:r>
      <w:r>
        <w:t xml:space="preserve"> </w:t>
      </w:r>
      <w:r w:rsidRPr="00530759">
        <w:t xml:space="preserve">employment contexts: A meta-analytic investigation. </w:t>
      </w:r>
      <w:r w:rsidRPr="00530759">
        <w:rPr>
          <w:i/>
          <w:iCs/>
        </w:rPr>
        <w:t>Journal of Vocational</w:t>
      </w:r>
      <w:r>
        <w:t xml:space="preserve"> </w:t>
      </w:r>
      <w:r w:rsidRPr="00530759">
        <w:rPr>
          <w:i/>
          <w:iCs/>
        </w:rPr>
        <w:t xml:space="preserve">Behavior, 56, </w:t>
      </w:r>
      <w:r w:rsidRPr="00530759">
        <w:t>225–248.</w:t>
      </w:r>
      <w:r>
        <w:t xml:space="preserve"> </w:t>
      </w:r>
      <w:r w:rsidRPr="008F499E">
        <w:t>doi:10.1006/jvbe.1999.1711</w:t>
      </w:r>
    </w:p>
    <w:p w14:paraId="52A742B9" w14:textId="77777777" w:rsidR="00E26C6A" w:rsidRDefault="00E26C6A" w:rsidP="00E70436">
      <w:pPr>
        <w:widowControl w:val="0"/>
        <w:ind w:left="720" w:hanging="720"/>
      </w:pPr>
      <w:r w:rsidRPr="00DC558D">
        <w:t xml:space="preserve">Drury, B. J., </w:t>
      </w:r>
      <w:proofErr w:type="spellStart"/>
      <w:r w:rsidRPr="00DC558D">
        <w:t>Siy</w:t>
      </w:r>
      <w:proofErr w:type="spellEnd"/>
      <w:r w:rsidRPr="00DC558D">
        <w:t xml:space="preserve">, J. O., &amp; </w:t>
      </w:r>
      <w:proofErr w:type="spellStart"/>
      <w:r w:rsidRPr="00DC558D">
        <w:t>Cheryan</w:t>
      </w:r>
      <w:proofErr w:type="spellEnd"/>
      <w:r w:rsidRPr="00DC558D">
        <w:t xml:space="preserve">, S. (2011). When do female role models benefit women? The importance of differentiating recruitment from retention in STEM. </w:t>
      </w:r>
      <w:r w:rsidRPr="00DC558D">
        <w:rPr>
          <w:i/>
        </w:rPr>
        <w:t xml:space="preserve">Psychological Inquiry, </w:t>
      </w:r>
      <w:r w:rsidRPr="00DC558D">
        <w:rPr>
          <w:i/>
        </w:rPr>
        <w:lastRenderedPageBreak/>
        <w:t>22</w:t>
      </w:r>
      <w:r w:rsidRPr="00DC558D">
        <w:t>, 265-269.</w:t>
      </w:r>
      <w:r w:rsidR="008F62AF">
        <w:t xml:space="preserve"> </w:t>
      </w:r>
      <w:r w:rsidR="008F62AF" w:rsidRPr="008F62AF">
        <w:t>doi:10.1080/1047840x.2011.620935</w:t>
      </w:r>
    </w:p>
    <w:p w14:paraId="75B78327" w14:textId="77777777" w:rsidR="008565BF" w:rsidRDefault="008565BF" w:rsidP="00E70436">
      <w:pPr>
        <w:widowControl w:val="0"/>
        <w:ind w:left="720" w:hanging="720"/>
      </w:pPr>
      <w:proofErr w:type="spellStart"/>
      <w:r>
        <w:t>Eagly</w:t>
      </w:r>
      <w:proofErr w:type="spellEnd"/>
      <w:r>
        <w:t xml:space="preserve">, A. H. (1987). </w:t>
      </w:r>
      <w:r w:rsidRPr="003D391D">
        <w:rPr>
          <w:i/>
        </w:rPr>
        <w:t>Sex differences in social behavior: A social-role interpretation</w:t>
      </w:r>
      <w:r>
        <w:t>. Hillsdale, NJ: Erlbaum</w:t>
      </w:r>
    </w:p>
    <w:p w14:paraId="1C2F681B" w14:textId="77777777" w:rsidR="008565BF" w:rsidRDefault="008565BF" w:rsidP="00E70436">
      <w:pPr>
        <w:widowControl w:val="0"/>
        <w:ind w:left="720" w:hanging="720"/>
      </w:pPr>
      <w:proofErr w:type="spellStart"/>
      <w:r w:rsidRPr="00F51CDF">
        <w:t>Eagly</w:t>
      </w:r>
      <w:proofErr w:type="spellEnd"/>
      <w:r w:rsidRPr="00F51CDF">
        <w:t xml:space="preserve">, A. H., &amp; Karau, S. J. (2002). Role congruity theory of prejudice toward female leaders. </w:t>
      </w:r>
      <w:r>
        <w:rPr>
          <w:i/>
          <w:iCs/>
        </w:rPr>
        <w:t>Psychological R</w:t>
      </w:r>
      <w:r w:rsidRPr="00F51CDF">
        <w:rPr>
          <w:i/>
          <w:iCs/>
        </w:rPr>
        <w:t>eview</w:t>
      </w:r>
      <w:r w:rsidRPr="00F51CDF">
        <w:t xml:space="preserve">, </w:t>
      </w:r>
      <w:r w:rsidRPr="00F51CDF">
        <w:rPr>
          <w:i/>
          <w:iCs/>
        </w:rPr>
        <w:t>109</w:t>
      </w:r>
      <w:r w:rsidRPr="00F51CDF">
        <w:t>, 573</w:t>
      </w:r>
      <w:r>
        <w:t>-598</w:t>
      </w:r>
      <w:r w:rsidRPr="00F51CDF">
        <w:t>.</w:t>
      </w:r>
      <w:r>
        <w:t xml:space="preserve"> </w:t>
      </w:r>
      <w:r w:rsidRPr="008F499E">
        <w:t>doi:10.1037/0033-295x.109.3.573</w:t>
      </w:r>
    </w:p>
    <w:p w14:paraId="61B98DE0" w14:textId="77777777" w:rsidR="00E26C6A" w:rsidRPr="00DC558D" w:rsidRDefault="00E26C6A" w:rsidP="00E70436">
      <w:pPr>
        <w:widowControl w:val="0"/>
        <w:ind w:left="720" w:hanging="720"/>
        <w:contextualSpacing/>
      </w:pPr>
      <w:proofErr w:type="spellStart"/>
      <w:r w:rsidRPr="00DC558D">
        <w:t>Eagly</w:t>
      </w:r>
      <w:proofErr w:type="spellEnd"/>
      <w:r w:rsidRPr="00DC558D">
        <w:t xml:space="preserve">, A. H., &amp; Wood, W. (1999). The origins of sex differences in human behavior: Evolved dispositions versus social roles. </w:t>
      </w:r>
      <w:r>
        <w:rPr>
          <w:i/>
          <w:iCs/>
        </w:rPr>
        <w:t>American P</w:t>
      </w:r>
      <w:r w:rsidRPr="00DC558D">
        <w:rPr>
          <w:i/>
          <w:iCs/>
        </w:rPr>
        <w:t>sychologist</w:t>
      </w:r>
      <w:r w:rsidRPr="00DC558D">
        <w:t xml:space="preserve">, </w:t>
      </w:r>
      <w:r w:rsidRPr="00DC558D">
        <w:rPr>
          <w:i/>
          <w:iCs/>
        </w:rPr>
        <w:t>54</w:t>
      </w:r>
      <w:r w:rsidRPr="00DC558D">
        <w:t>, 408</w:t>
      </w:r>
      <w:r>
        <w:t>-423</w:t>
      </w:r>
      <w:r w:rsidRPr="00DC558D">
        <w:t>.</w:t>
      </w:r>
      <w:r w:rsidR="00DF44A6">
        <w:t xml:space="preserve"> </w:t>
      </w:r>
      <w:r w:rsidR="00DF44A6" w:rsidRPr="00DF44A6">
        <w:t>doi:10.1037/0003-066x.54.6.408</w:t>
      </w:r>
    </w:p>
    <w:p w14:paraId="4E0C1091" w14:textId="77777777" w:rsidR="008565BF" w:rsidRDefault="008565BF" w:rsidP="00E70436">
      <w:pPr>
        <w:widowControl w:val="0"/>
        <w:ind w:left="720" w:hanging="720"/>
      </w:pPr>
      <w:r w:rsidRPr="005E7365">
        <w:t xml:space="preserve">Evans, C. D., &amp; </w:t>
      </w:r>
      <w:proofErr w:type="spellStart"/>
      <w:r w:rsidRPr="005E7365">
        <w:t>Diekman</w:t>
      </w:r>
      <w:proofErr w:type="spellEnd"/>
      <w:r w:rsidRPr="005E7365">
        <w:t xml:space="preserve">, A. B. (2009). On motivated role selection: Gender beliefs, distant goals, and career interest. </w:t>
      </w:r>
      <w:r w:rsidRPr="003D391D">
        <w:rPr>
          <w:i/>
        </w:rPr>
        <w:t>Psychology of Women Quarterly, 33</w:t>
      </w:r>
      <w:r w:rsidRPr="005E7365">
        <w:t>, 235-249.</w:t>
      </w:r>
      <w:r w:rsidR="00B506B9">
        <w:t xml:space="preserve"> </w:t>
      </w:r>
      <w:r w:rsidR="00B506B9" w:rsidRPr="00B506B9">
        <w:t>doi:10.1111/j.1471-6402.</w:t>
      </w:r>
      <w:proofErr w:type="gramStart"/>
      <w:r w:rsidR="00B506B9" w:rsidRPr="00B506B9">
        <w:t>2009.01493.x</w:t>
      </w:r>
      <w:proofErr w:type="gramEnd"/>
    </w:p>
    <w:p w14:paraId="3FE479DF" w14:textId="77777777" w:rsidR="008565BF" w:rsidRPr="005E7365" w:rsidRDefault="008565BF">
      <w:pPr>
        <w:widowControl w:val="0"/>
        <w:ind w:left="720" w:hanging="720"/>
      </w:pPr>
      <w:r w:rsidRPr="005E7365">
        <w:t xml:space="preserve">Festinger, L. (1954). A theory of social comparison processes. </w:t>
      </w:r>
      <w:r>
        <w:rPr>
          <w:i/>
          <w:iCs/>
        </w:rPr>
        <w:t>Human R</w:t>
      </w:r>
      <w:r w:rsidRPr="005E7365">
        <w:rPr>
          <w:i/>
          <w:iCs/>
        </w:rPr>
        <w:t>elations</w:t>
      </w:r>
      <w:r w:rsidRPr="005E7365">
        <w:t xml:space="preserve">, </w:t>
      </w:r>
      <w:r w:rsidRPr="005E7365">
        <w:rPr>
          <w:i/>
          <w:iCs/>
        </w:rPr>
        <w:t>7</w:t>
      </w:r>
      <w:r w:rsidRPr="005E7365">
        <w:t>, 117-140.</w:t>
      </w:r>
      <w:r>
        <w:t xml:space="preserve"> </w:t>
      </w:r>
      <w:r w:rsidR="00EE440A" w:rsidRPr="00EE440A">
        <w:t>doi:10.1177/001872675400700202</w:t>
      </w:r>
    </w:p>
    <w:p w14:paraId="3B2428C5" w14:textId="77777777" w:rsidR="008565BF" w:rsidRPr="008B4A9D" w:rsidRDefault="008565BF">
      <w:pPr>
        <w:widowControl w:val="0"/>
        <w:ind w:left="720" w:hanging="720"/>
      </w:pPr>
      <w:r w:rsidRPr="008B4A9D">
        <w:t xml:space="preserve">Harrison, K., Taylor, L. D., &amp; Marske, A. L. (2006). Women’s and men’s eating behavior following exposure to ideal-body images and text. </w:t>
      </w:r>
      <w:r w:rsidRPr="008B4A9D">
        <w:rPr>
          <w:i/>
          <w:iCs/>
        </w:rPr>
        <w:t>Communication Research</w:t>
      </w:r>
      <w:r w:rsidRPr="008B4A9D">
        <w:t xml:space="preserve">, </w:t>
      </w:r>
      <w:r w:rsidRPr="008B4A9D">
        <w:rPr>
          <w:i/>
          <w:iCs/>
        </w:rPr>
        <w:t>33</w:t>
      </w:r>
      <w:r w:rsidRPr="008B4A9D">
        <w:t>, 507-529.</w:t>
      </w:r>
      <w:r>
        <w:t xml:space="preserve"> doi:</w:t>
      </w:r>
      <w:r w:rsidRPr="008B4A9D">
        <w:t>10.1177/0093650206293247</w:t>
      </w:r>
    </w:p>
    <w:p w14:paraId="753CCF5A" w14:textId="77777777" w:rsidR="008565BF" w:rsidRDefault="008565BF" w:rsidP="00E70436">
      <w:pPr>
        <w:widowControl w:val="0"/>
        <w:ind w:left="720" w:hanging="720"/>
      </w:pPr>
      <w:r w:rsidRPr="0046487D">
        <w:t xml:space="preserve">Hayes, A. F. (2013). </w:t>
      </w:r>
      <w:r w:rsidRPr="0046487D">
        <w:rPr>
          <w:i/>
          <w:iCs/>
        </w:rPr>
        <w:t>Introduction to mediation, moderation, and conditional process analysis: A regression-based approach</w:t>
      </w:r>
      <w:r w:rsidRPr="0046487D">
        <w:t xml:space="preserve">. </w:t>
      </w:r>
      <w:r>
        <w:t xml:space="preserve">New York: </w:t>
      </w:r>
      <w:r w:rsidRPr="0046487D">
        <w:t>Guilford Press.</w:t>
      </w:r>
    </w:p>
    <w:p w14:paraId="38EB9BF8" w14:textId="77777777" w:rsidR="00023229" w:rsidRPr="0046487D" w:rsidRDefault="00023229" w:rsidP="00E70436">
      <w:pPr>
        <w:widowControl w:val="0"/>
        <w:ind w:left="720" w:hanging="720"/>
      </w:pPr>
      <w:r w:rsidRPr="00023229">
        <w:t xml:space="preserve">Hoyt, C. L. (2013). Inspirational or self-deflating: The role of self-efficacy in elite role model effectiveness. </w:t>
      </w:r>
      <w:r w:rsidRPr="00AA2A4C">
        <w:rPr>
          <w:i/>
        </w:rPr>
        <w:t>Social Psychological and Personality Science, 4</w:t>
      </w:r>
      <w:r w:rsidRPr="00023229">
        <w:t>, 290-298.</w:t>
      </w:r>
      <w:r w:rsidR="00C8397D">
        <w:t xml:space="preserve"> </w:t>
      </w:r>
      <w:r w:rsidR="00C8397D" w:rsidRPr="00C8397D">
        <w:t>doi:10.1177/1948550612455066</w:t>
      </w:r>
    </w:p>
    <w:p w14:paraId="41CB3EB4" w14:textId="77777777" w:rsidR="008565BF" w:rsidRDefault="008565BF" w:rsidP="00E70436">
      <w:pPr>
        <w:widowControl w:val="0"/>
        <w:ind w:left="720" w:hanging="720"/>
      </w:pPr>
      <w:r w:rsidRPr="008B4A9D">
        <w:t xml:space="preserve">Keller, S. N., &amp; Brown, J. D. (2002). Media interventions to promote responsible sexual behavior. </w:t>
      </w:r>
      <w:r w:rsidRPr="008B4A9D">
        <w:rPr>
          <w:i/>
          <w:iCs/>
        </w:rPr>
        <w:t>Journal of Sex Research</w:t>
      </w:r>
      <w:r w:rsidRPr="008B4A9D">
        <w:t xml:space="preserve">, </w:t>
      </w:r>
      <w:r w:rsidRPr="008B4A9D">
        <w:rPr>
          <w:i/>
          <w:iCs/>
        </w:rPr>
        <w:t>39</w:t>
      </w:r>
      <w:r w:rsidRPr="008B4A9D">
        <w:t>, 67-72.</w:t>
      </w:r>
      <w:r>
        <w:t xml:space="preserve"> doi:</w:t>
      </w:r>
      <w:r w:rsidRPr="00854089">
        <w:t>10.1080/00224490209552123</w:t>
      </w:r>
    </w:p>
    <w:p w14:paraId="57C06F0C" w14:textId="53156C79" w:rsidR="00E26C6A" w:rsidRDefault="00E26C6A">
      <w:pPr>
        <w:widowControl w:val="0"/>
        <w:ind w:left="720" w:hanging="720"/>
      </w:pPr>
      <w:r w:rsidRPr="003112A6">
        <w:lastRenderedPageBreak/>
        <w:t xml:space="preserve">Kitzinger, J., Haran, J., </w:t>
      </w:r>
      <w:proofErr w:type="spellStart"/>
      <w:r w:rsidRPr="003112A6">
        <w:t>Chimba</w:t>
      </w:r>
      <w:proofErr w:type="spellEnd"/>
      <w:r w:rsidRPr="003112A6">
        <w:t xml:space="preserve">, M., &amp; Boyce, T. (2008). Role models in the media: </w:t>
      </w:r>
      <w:r w:rsidR="00984C30">
        <w:t>A</w:t>
      </w:r>
      <w:r w:rsidRPr="003112A6">
        <w:t>n exploration of the views and experiences of women in science, engineering and technology.</w:t>
      </w:r>
      <w:r>
        <w:t xml:space="preserve"> </w:t>
      </w:r>
      <w:r w:rsidRPr="003112A6">
        <w:rPr>
          <w:i/>
        </w:rPr>
        <w:t>UKRC Research Report Series</w:t>
      </w:r>
      <w:r>
        <w:t>, 1, 1-42.</w:t>
      </w:r>
    </w:p>
    <w:p w14:paraId="6621F459" w14:textId="77777777" w:rsidR="00913B20" w:rsidRPr="00913B20" w:rsidRDefault="00913B20">
      <w:pPr>
        <w:widowControl w:val="0"/>
        <w:ind w:left="720" w:hanging="720"/>
        <w:rPr>
          <w:iCs/>
        </w:rPr>
      </w:pPr>
      <w:r w:rsidRPr="00913B20">
        <w:t xml:space="preserve">Knobloch-Westerwick, S., Robinson, M. J., Willis, L. E., &amp; </w:t>
      </w:r>
      <w:r w:rsidRPr="00E70436">
        <w:t>Luong, K. T.</w:t>
      </w:r>
      <w:r w:rsidRPr="00913B20">
        <w:t xml:space="preserve"> (2016). Beauty or business queen: How young women select media to reinforce possible future selves. </w:t>
      </w:r>
      <w:r w:rsidRPr="00913B20">
        <w:rPr>
          <w:i/>
          <w:iCs/>
        </w:rPr>
        <w:t>Communication Research</w:t>
      </w:r>
      <w:r w:rsidRPr="00913B20">
        <w:rPr>
          <w:iCs/>
        </w:rPr>
        <w:t xml:space="preserve">. Advance online publication. </w:t>
      </w:r>
      <w:proofErr w:type="spellStart"/>
      <w:r w:rsidRPr="00913B20">
        <w:rPr>
          <w:iCs/>
        </w:rPr>
        <w:t>doi</w:t>
      </w:r>
      <w:proofErr w:type="spellEnd"/>
      <w:r w:rsidRPr="00913B20">
        <w:rPr>
          <w:iCs/>
        </w:rPr>
        <w:t>: 10.1177/0093650215626978</w:t>
      </w:r>
    </w:p>
    <w:p w14:paraId="0C70FB86" w14:textId="77777777" w:rsidR="008565BF" w:rsidRDefault="008565BF" w:rsidP="00E70436">
      <w:pPr>
        <w:pStyle w:val="NormalWeb"/>
        <w:widowControl w:val="0"/>
        <w:spacing w:before="0" w:beforeAutospacing="0" w:after="0" w:afterAutospacing="0" w:line="480" w:lineRule="auto"/>
        <w:ind w:left="720" w:hanging="720"/>
        <w:rPr>
          <w:rFonts w:eastAsiaTheme="minorHAnsi" w:cstheme="minorBidi"/>
          <w:szCs w:val="22"/>
        </w:rPr>
      </w:pPr>
      <w:bookmarkStart w:id="10" w:name="_Hlk506738170"/>
      <w:proofErr w:type="spellStart"/>
      <w:r w:rsidRPr="00400035">
        <w:rPr>
          <w:rFonts w:eastAsiaTheme="minorHAnsi" w:cstheme="minorBidi"/>
          <w:szCs w:val="22"/>
        </w:rPr>
        <w:t>Kreuter</w:t>
      </w:r>
      <w:proofErr w:type="spellEnd"/>
      <w:r w:rsidRPr="00400035">
        <w:rPr>
          <w:rFonts w:eastAsiaTheme="minorHAnsi" w:cstheme="minorBidi"/>
          <w:szCs w:val="22"/>
        </w:rPr>
        <w:t xml:space="preserve">, M. W., &amp; Wray, R. J. (2003). </w:t>
      </w:r>
      <w:r w:rsidRPr="00556B86">
        <w:rPr>
          <w:rFonts w:eastAsiaTheme="minorHAnsi" w:cstheme="minorBidi"/>
          <w:szCs w:val="22"/>
        </w:rPr>
        <w:t xml:space="preserve">Tailored and targeted health communication: Strategies for enhancing information relevance. </w:t>
      </w:r>
      <w:r w:rsidRPr="003D391D">
        <w:rPr>
          <w:rFonts w:eastAsiaTheme="minorHAnsi" w:cstheme="minorBidi"/>
          <w:i/>
          <w:szCs w:val="22"/>
        </w:rPr>
        <w:t>American Journal of Health Behavior, 27</w:t>
      </w:r>
      <w:r w:rsidRPr="00556B86">
        <w:rPr>
          <w:rFonts w:eastAsiaTheme="minorHAnsi" w:cstheme="minorBidi"/>
          <w:szCs w:val="22"/>
        </w:rPr>
        <w:t>, S227-S232. doi:10.5993/ajhb.27.</w:t>
      </w:r>
      <w:proofErr w:type="gramStart"/>
      <w:r w:rsidRPr="00556B86">
        <w:rPr>
          <w:rFonts w:eastAsiaTheme="minorHAnsi" w:cstheme="minorBidi"/>
          <w:szCs w:val="22"/>
        </w:rPr>
        <w:t>1.s</w:t>
      </w:r>
      <w:proofErr w:type="gramEnd"/>
      <w:r w:rsidRPr="00556B86">
        <w:rPr>
          <w:rFonts w:eastAsiaTheme="minorHAnsi" w:cstheme="minorBidi"/>
          <w:szCs w:val="22"/>
        </w:rPr>
        <w:t>3.6</w:t>
      </w:r>
    </w:p>
    <w:bookmarkEnd w:id="10"/>
    <w:p w14:paraId="656E0730" w14:textId="77777777" w:rsidR="008565BF" w:rsidRDefault="008565BF">
      <w:pPr>
        <w:pStyle w:val="NormalWeb"/>
        <w:widowControl w:val="0"/>
        <w:spacing w:before="0" w:beforeAutospacing="0" w:after="0" w:afterAutospacing="0" w:line="480" w:lineRule="auto"/>
        <w:ind w:left="720" w:hanging="720"/>
        <w:rPr>
          <w:rFonts w:eastAsiaTheme="minorHAnsi" w:cstheme="minorBidi"/>
          <w:szCs w:val="22"/>
        </w:rPr>
      </w:pPr>
      <w:proofErr w:type="spellStart"/>
      <w:r w:rsidRPr="00854089">
        <w:rPr>
          <w:rFonts w:eastAsiaTheme="minorHAnsi" w:cstheme="minorBidi"/>
          <w:szCs w:val="22"/>
        </w:rPr>
        <w:t>Kuijer</w:t>
      </w:r>
      <w:proofErr w:type="spellEnd"/>
      <w:r w:rsidRPr="00854089">
        <w:rPr>
          <w:rFonts w:eastAsiaTheme="minorHAnsi" w:cstheme="minorBidi"/>
          <w:szCs w:val="22"/>
        </w:rPr>
        <w:t>, R. G., &amp; De Ridder, D. T. (2003). Discrepancy in illness-related goals and quality of lif</w:t>
      </w:r>
      <w:r>
        <w:rPr>
          <w:rFonts w:eastAsiaTheme="minorHAnsi" w:cstheme="minorBidi"/>
          <w:szCs w:val="22"/>
        </w:rPr>
        <w:t>e in chronically ill patients: T</w:t>
      </w:r>
      <w:r w:rsidRPr="00854089">
        <w:rPr>
          <w:rFonts w:eastAsiaTheme="minorHAnsi" w:cstheme="minorBidi"/>
          <w:szCs w:val="22"/>
        </w:rPr>
        <w:t xml:space="preserve">he role of self-efficacy. </w:t>
      </w:r>
      <w:r w:rsidRPr="003D391D">
        <w:rPr>
          <w:rFonts w:eastAsiaTheme="minorHAnsi" w:cstheme="minorBidi"/>
          <w:i/>
          <w:szCs w:val="22"/>
        </w:rPr>
        <w:t>Psychology and Health, 18</w:t>
      </w:r>
      <w:r w:rsidRPr="00854089">
        <w:rPr>
          <w:rFonts w:eastAsiaTheme="minorHAnsi" w:cstheme="minorBidi"/>
          <w:szCs w:val="22"/>
        </w:rPr>
        <w:t>, 313-330.</w:t>
      </w:r>
      <w:r>
        <w:rPr>
          <w:rFonts w:eastAsiaTheme="minorHAnsi" w:cstheme="minorBidi"/>
          <w:szCs w:val="22"/>
        </w:rPr>
        <w:t xml:space="preserve"> doi:</w:t>
      </w:r>
      <w:r w:rsidRPr="00854089">
        <w:rPr>
          <w:rFonts w:eastAsiaTheme="minorHAnsi" w:cstheme="minorBidi"/>
          <w:szCs w:val="22"/>
        </w:rPr>
        <w:t>10.1080/0887044031000146815</w:t>
      </w:r>
    </w:p>
    <w:p w14:paraId="4916AF87" w14:textId="77777777" w:rsidR="008565BF" w:rsidRDefault="008565BF">
      <w:pPr>
        <w:pStyle w:val="NormalWeb"/>
        <w:widowControl w:val="0"/>
        <w:spacing w:before="0" w:beforeAutospacing="0" w:after="0" w:afterAutospacing="0" w:line="480" w:lineRule="auto"/>
        <w:ind w:left="720" w:hanging="720"/>
        <w:rPr>
          <w:rFonts w:eastAsiaTheme="minorHAnsi" w:cstheme="minorBidi"/>
          <w:szCs w:val="22"/>
        </w:rPr>
      </w:pPr>
      <w:r w:rsidRPr="0039541A">
        <w:rPr>
          <w:rFonts w:eastAsiaTheme="minorHAnsi" w:cstheme="minorBidi"/>
          <w:szCs w:val="22"/>
        </w:rPr>
        <w:t>Lawson, K. M., &amp; Lips, H. M. (2014). The role of self‐perceived agency and job attainability in women's impressions of successful women in masculine occupations</w:t>
      </w:r>
      <w:r w:rsidRPr="003D391D">
        <w:rPr>
          <w:rFonts w:eastAsiaTheme="minorHAnsi" w:cstheme="minorBidi"/>
          <w:i/>
          <w:szCs w:val="22"/>
        </w:rPr>
        <w:t>. Journal of Applied Social Psychology, 44</w:t>
      </w:r>
      <w:r w:rsidRPr="0039541A">
        <w:rPr>
          <w:rFonts w:eastAsiaTheme="minorHAnsi" w:cstheme="minorBidi"/>
          <w:szCs w:val="22"/>
        </w:rPr>
        <w:t>, 433-441.</w:t>
      </w:r>
      <w:r>
        <w:rPr>
          <w:rFonts w:eastAsiaTheme="minorHAnsi" w:cstheme="minorBidi"/>
          <w:szCs w:val="22"/>
        </w:rPr>
        <w:t xml:space="preserve"> doi:</w:t>
      </w:r>
      <w:r>
        <w:rPr>
          <w:rStyle w:val="article-headermeta-info-data"/>
        </w:rPr>
        <w:t>10.1111/jasp.12236</w:t>
      </w:r>
    </w:p>
    <w:p w14:paraId="0658A7E3" w14:textId="77777777" w:rsidR="008565BF" w:rsidRDefault="008565BF">
      <w:pPr>
        <w:pStyle w:val="NormalWeb"/>
        <w:widowControl w:val="0"/>
        <w:spacing w:before="0" w:beforeAutospacing="0" w:after="0" w:afterAutospacing="0" w:line="480" w:lineRule="auto"/>
        <w:ind w:left="720" w:hanging="720"/>
        <w:rPr>
          <w:noProof/>
        </w:rPr>
      </w:pPr>
      <w:r w:rsidRPr="00E332C8">
        <w:rPr>
          <w:noProof/>
        </w:rPr>
        <w:t>Lee, T. K., &amp; Shapi</w:t>
      </w:r>
      <w:r>
        <w:rPr>
          <w:noProof/>
        </w:rPr>
        <w:t>ro, M. A. (2016). Effects of a story character’s goal achievement: Modeling a story character’s diet behaviors and activating/deactivating a character’s d</w:t>
      </w:r>
      <w:r w:rsidRPr="00E332C8">
        <w:rPr>
          <w:noProof/>
        </w:rPr>
        <w:t xml:space="preserve">iet </w:t>
      </w:r>
      <w:r>
        <w:rPr>
          <w:noProof/>
        </w:rPr>
        <w:t>g</w:t>
      </w:r>
      <w:r w:rsidRPr="00E332C8">
        <w:rPr>
          <w:noProof/>
        </w:rPr>
        <w:t xml:space="preserve">oal. </w:t>
      </w:r>
      <w:r w:rsidRPr="00E332C8">
        <w:rPr>
          <w:i/>
          <w:iCs/>
          <w:noProof/>
        </w:rPr>
        <w:t>Communication Research</w:t>
      </w:r>
      <w:r w:rsidRPr="00E332C8">
        <w:rPr>
          <w:noProof/>
        </w:rPr>
        <w:t xml:space="preserve">, </w:t>
      </w:r>
      <w:r w:rsidRPr="00400035">
        <w:rPr>
          <w:i/>
          <w:noProof/>
        </w:rPr>
        <w:t>43</w:t>
      </w:r>
      <w:r>
        <w:rPr>
          <w:noProof/>
        </w:rPr>
        <w:t>, 863-891</w:t>
      </w:r>
      <w:r w:rsidRPr="00E332C8">
        <w:rPr>
          <w:noProof/>
        </w:rPr>
        <w:t>.</w:t>
      </w:r>
      <w:r>
        <w:rPr>
          <w:noProof/>
        </w:rPr>
        <w:t xml:space="preserve"> </w:t>
      </w:r>
      <w:r w:rsidRPr="00AD4D51">
        <w:rPr>
          <w:noProof/>
        </w:rPr>
        <w:t>doi:10.1177/0093650215608236</w:t>
      </w:r>
    </w:p>
    <w:p w14:paraId="71003751" w14:textId="77777777" w:rsidR="008565BF" w:rsidRDefault="008565BF" w:rsidP="00E70436">
      <w:pPr>
        <w:pStyle w:val="NormalWeb"/>
        <w:widowControl w:val="0"/>
        <w:spacing w:before="0" w:beforeAutospacing="0" w:after="0" w:afterAutospacing="0" w:line="480" w:lineRule="auto"/>
        <w:ind w:left="720" w:hanging="720"/>
        <w:rPr>
          <w:noProof/>
        </w:rPr>
      </w:pPr>
      <w:r w:rsidRPr="0019626C">
        <w:rPr>
          <w:noProof/>
        </w:rPr>
        <w:t xml:space="preserve">Lockwood, P., &amp; Kunda, Z. (1997). Superstars and me: Predicting the impact of role models on the self. </w:t>
      </w:r>
      <w:r>
        <w:rPr>
          <w:i/>
          <w:iCs/>
          <w:noProof/>
        </w:rPr>
        <w:t>Journal of Personality and S</w:t>
      </w:r>
      <w:r w:rsidRPr="0019626C">
        <w:rPr>
          <w:i/>
          <w:iCs/>
          <w:noProof/>
        </w:rPr>
        <w:t xml:space="preserve">ocial </w:t>
      </w:r>
      <w:r>
        <w:rPr>
          <w:i/>
          <w:iCs/>
          <w:noProof/>
        </w:rPr>
        <w:t>P</w:t>
      </w:r>
      <w:r w:rsidRPr="0019626C">
        <w:rPr>
          <w:i/>
          <w:iCs/>
          <w:noProof/>
        </w:rPr>
        <w:t>sychology</w:t>
      </w:r>
      <w:r w:rsidRPr="0019626C">
        <w:rPr>
          <w:noProof/>
        </w:rPr>
        <w:t xml:space="preserve">, </w:t>
      </w:r>
      <w:r w:rsidRPr="0019626C">
        <w:rPr>
          <w:i/>
          <w:iCs/>
          <w:noProof/>
        </w:rPr>
        <w:t>73</w:t>
      </w:r>
      <w:r w:rsidRPr="0019626C">
        <w:rPr>
          <w:noProof/>
        </w:rPr>
        <w:t>, 91</w:t>
      </w:r>
      <w:r>
        <w:rPr>
          <w:noProof/>
        </w:rPr>
        <w:t>-103</w:t>
      </w:r>
      <w:r w:rsidRPr="0019626C">
        <w:rPr>
          <w:noProof/>
        </w:rPr>
        <w:t>.</w:t>
      </w:r>
      <w:r>
        <w:rPr>
          <w:noProof/>
        </w:rPr>
        <w:t xml:space="preserve"> </w:t>
      </w:r>
      <w:r w:rsidRPr="00F62666">
        <w:rPr>
          <w:noProof/>
        </w:rPr>
        <w:t>doi:10.1037/0022-3514.73.1.91</w:t>
      </w:r>
    </w:p>
    <w:p w14:paraId="17814C35" w14:textId="6E3D31A8" w:rsidR="008565BF" w:rsidRDefault="008565BF">
      <w:pPr>
        <w:pStyle w:val="NormalWeb"/>
        <w:widowControl w:val="0"/>
        <w:spacing w:before="0" w:beforeAutospacing="0" w:after="0" w:afterAutospacing="0" w:line="480" w:lineRule="auto"/>
        <w:ind w:left="720" w:hanging="720"/>
        <w:rPr>
          <w:noProof/>
        </w:rPr>
      </w:pPr>
      <w:r w:rsidRPr="004455C6">
        <w:rPr>
          <w:noProof/>
        </w:rPr>
        <w:t xml:space="preserve">Luchetta, T. (1995). Parental and work role salience, everyday problems, and distress: A prospective analysis of specific vulnerability among multiple-role women. </w:t>
      </w:r>
      <w:r w:rsidRPr="004455C6">
        <w:rPr>
          <w:i/>
          <w:iCs/>
          <w:noProof/>
        </w:rPr>
        <w:t xml:space="preserve">Women &amp; </w:t>
      </w:r>
      <w:r w:rsidRPr="004455C6">
        <w:rPr>
          <w:i/>
          <w:iCs/>
          <w:noProof/>
        </w:rPr>
        <w:lastRenderedPageBreak/>
        <w:t>Health</w:t>
      </w:r>
      <w:r w:rsidRPr="004455C6">
        <w:rPr>
          <w:noProof/>
        </w:rPr>
        <w:t xml:space="preserve">, </w:t>
      </w:r>
      <w:r w:rsidRPr="004455C6">
        <w:rPr>
          <w:i/>
          <w:iCs/>
          <w:noProof/>
        </w:rPr>
        <w:t>22</w:t>
      </w:r>
      <w:r w:rsidRPr="004455C6">
        <w:rPr>
          <w:noProof/>
        </w:rPr>
        <w:t>, 21-50.</w:t>
      </w:r>
      <w:r w:rsidR="00B506B9">
        <w:rPr>
          <w:noProof/>
        </w:rPr>
        <w:t xml:space="preserve"> </w:t>
      </w:r>
      <w:r w:rsidR="00B506B9" w:rsidRPr="00B506B9">
        <w:rPr>
          <w:noProof/>
        </w:rPr>
        <w:t>doi:10.1300/j013v22n04_02</w:t>
      </w:r>
    </w:p>
    <w:p w14:paraId="1B76B20A" w14:textId="77777777" w:rsidR="00913B20" w:rsidRPr="00913B20" w:rsidRDefault="00913B20" w:rsidP="00E70436">
      <w:pPr>
        <w:pStyle w:val="NormalWeb"/>
        <w:widowControl w:val="0"/>
        <w:spacing w:before="0" w:beforeAutospacing="0" w:after="0" w:afterAutospacing="0" w:line="480" w:lineRule="auto"/>
        <w:ind w:left="720" w:hanging="720"/>
        <w:rPr>
          <w:noProof/>
        </w:rPr>
      </w:pPr>
      <w:r w:rsidRPr="00E70436">
        <w:rPr>
          <w:noProof/>
        </w:rPr>
        <w:t>Luong, K. T</w:t>
      </w:r>
      <w:r w:rsidRPr="00913B20">
        <w:rPr>
          <w:b/>
          <w:noProof/>
        </w:rPr>
        <w:t>.</w:t>
      </w:r>
      <w:r w:rsidRPr="00913B20">
        <w:rPr>
          <w:noProof/>
        </w:rPr>
        <w:t>, &amp; Knobloch-Westerwick, S. (2017). Can media help women be better at math? Stereotype threat, selective exposure, media effects &amp; math performance.</w:t>
      </w:r>
      <w:r w:rsidRPr="00913B20">
        <w:rPr>
          <w:i/>
          <w:noProof/>
        </w:rPr>
        <w:t xml:space="preserve"> Human Communication Research, (43)</w:t>
      </w:r>
      <w:r w:rsidRPr="00913B20">
        <w:rPr>
          <w:noProof/>
        </w:rPr>
        <w:t>, 193–213</w:t>
      </w:r>
      <w:r w:rsidRPr="00913B20">
        <w:rPr>
          <w:i/>
          <w:noProof/>
        </w:rPr>
        <w:t xml:space="preserve">. </w:t>
      </w:r>
      <w:r w:rsidRPr="00913B20">
        <w:rPr>
          <w:noProof/>
        </w:rPr>
        <w:t>doi: 10.1111/hcre.12101</w:t>
      </w:r>
    </w:p>
    <w:p w14:paraId="234D0D51" w14:textId="77777777" w:rsidR="00984C30" w:rsidRPr="00984C30" w:rsidRDefault="00984C30">
      <w:pPr>
        <w:pStyle w:val="NormalWeb"/>
        <w:widowControl w:val="0"/>
        <w:spacing w:before="0" w:beforeAutospacing="0" w:after="0" w:afterAutospacing="0" w:line="480" w:lineRule="auto"/>
        <w:ind w:left="720" w:hanging="720"/>
        <w:rPr>
          <w:noProof/>
        </w:rPr>
      </w:pPr>
      <w:r w:rsidRPr="00984C30">
        <w:rPr>
          <w:noProof/>
        </w:rPr>
        <w:t xml:space="preserve">Mastenbroek, N. J. J. M., Jaarsma, A. D. C., Demerouti, E., Muijtjens, A. M. M., Scherpbier, A. J. J. A., &amp; van Beukelen, P. (2013). Burnout and engagement, and its predictors in young veterinary professionals: the influence of gender. </w:t>
      </w:r>
      <w:r w:rsidRPr="00AA2A4C">
        <w:rPr>
          <w:i/>
          <w:noProof/>
        </w:rPr>
        <w:t>Veterinary Record, 174</w:t>
      </w:r>
      <w:r w:rsidRPr="00984C30">
        <w:rPr>
          <w:noProof/>
        </w:rPr>
        <w:t>, 144–144. doi:10.1136/vr.101762</w:t>
      </w:r>
    </w:p>
    <w:p w14:paraId="36F73B68" w14:textId="77777777" w:rsidR="001A5E56" w:rsidRDefault="00984C30">
      <w:pPr>
        <w:pStyle w:val="NormalWeb"/>
        <w:widowControl w:val="0"/>
        <w:spacing w:before="0" w:beforeAutospacing="0" w:after="0" w:afterAutospacing="0" w:line="480" w:lineRule="auto"/>
        <w:ind w:left="720" w:hanging="720"/>
        <w:rPr>
          <w:noProof/>
        </w:rPr>
      </w:pPr>
      <w:r w:rsidRPr="00984C30">
        <w:rPr>
          <w:noProof/>
        </w:rPr>
        <w:t xml:space="preserve">Mastenbroek, N. J. J. M., Jaarsma, A. D. C., Scherpbier, A. J. J. A., Van Beukelen, P., &amp; Demerouti, E. (2014). The role of personal resources in explaining well-being and performance: a study among young veterinary professionals. </w:t>
      </w:r>
      <w:r w:rsidRPr="00984C30">
        <w:rPr>
          <w:i/>
          <w:iCs/>
          <w:noProof/>
        </w:rPr>
        <w:t>European Journal of Work and Organizational Psychology</w:t>
      </w:r>
      <w:r w:rsidRPr="00984C30">
        <w:rPr>
          <w:noProof/>
        </w:rPr>
        <w:t xml:space="preserve">, </w:t>
      </w:r>
      <w:r w:rsidRPr="00984C30">
        <w:rPr>
          <w:i/>
          <w:iCs/>
          <w:noProof/>
        </w:rPr>
        <w:t>23</w:t>
      </w:r>
      <w:r w:rsidRPr="00984C30">
        <w:rPr>
          <w:noProof/>
        </w:rPr>
        <w:t>, 190-202.</w:t>
      </w:r>
      <w:r>
        <w:rPr>
          <w:noProof/>
        </w:rPr>
        <w:t xml:space="preserve"> </w:t>
      </w:r>
      <w:r w:rsidRPr="00984C30">
        <w:rPr>
          <w:noProof/>
        </w:rPr>
        <w:t>doi:10.1080/1359432x.2012.728040</w:t>
      </w:r>
    </w:p>
    <w:p w14:paraId="5E04B0F2" w14:textId="03999BB6" w:rsidR="007541D3" w:rsidRPr="004455C6" w:rsidRDefault="007541D3">
      <w:pPr>
        <w:pStyle w:val="NormalWeb"/>
        <w:widowControl w:val="0"/>
        <w:spacing w:before="0" w:beforeAutospacing="0" w:after="0" w:afterAutospacing="0" w:line="480" w:lineRule="auto"/>
        <w:ind w:left="720" w:hanging="720"/>
        <w:rPr>
          <w:noProof/>
        </w:rPr>
      </w:pPr>
      <w:r w:rsidRPr="007541D3">
        <w:rPr>
          <w:noProof/>
        </w:rPr>
        <w:t>Master, A., Cheryan, S., &amp; Meltzoff, A. N. (2016). Computing whether she belongs: Stereotypes undermine girls’ interest and sense of belonging in computer science</w:t>
      </w:r>
      <w:r w:rsidRPr="007541D3">
        <w:rPr>
          <w:i/>
          <w:noProof/>
        </w:rPr>
        <w:t>. Journal of Educational Psychology, 108</w:t>
      </w:r>
      <w:r w:rsidRPr="007541D3">
        <w:rPr>
          <w:noProof/>
        </w:rPr>
        <w:t>, 424.</w:t>
      </w:r>
      <w:r w:rsidR="00B506B9">
        <w:rPr>
          <w:noProof/>
        </w:rPr>
        <w:t xml:space="preserve"> </w:t>
      </w:r>
      <w:r w:rsidR="00B506B9" w:rsidRPr="00B506B9">
        <w:rPr>
          <w:noProof/>
        </w:rPr>
        <w:t>doi:10.1037/edu0000061</w:t>
      </w:r>
    </w:p>
    <w:p w14:paraId="7505098E" w14:textId="77777777" w:rsidR="008565BF" w:rsidRDefault="008565BF">
      <w:pPr>
        <w:widowControl w:val="0"/>
        <w:ind w:left="720" w:hanging="720"/>
        <w:rPr>
          <w:rStyle w:val="article-headermeta-info-data"/>
          <w:rFonts w:cs="Times New Roman"/>
          <w:szCs w:val="24"/>
        </w:rPr>
      </w:pPr>
      <w:proofErr w:type="spellStart"/>
      <w:r w:rsidRPr="00B678A3">
        <w:t>Mussweiler</w:t>
      </w:r>
      <w:proofErr w:type="spellEnd"/>
      <w:r w:rsidRPr="00B678A3">
        <w:t xml:space="preserve">, T. (2001). ‘Seek and ye shall find’: antecedents of assimilation and contrast in social comparison. </w:t>
      </w:r>
      <w:r w:rsidRPr="00B678A3">
        <w:rPr>
          <w:i/>
          <w:iCs/>
        </w:rPr>
        <w:t>European Journal of Social Psychology</w:t>
      </w:r>
      <w:r w:rsidRPr="00B678A3">
        <w:t xml:space="preserve">, </w:t>
      </w:r>
      <w:r w:rsidRPr="00B678A3">
        <w:rPr>
          <w:i/>
          <w:iCs/>
        </w:rPr>
        <w:t>31</w:t>
      </w:r>
      <w:r w:rsidRPr="00B678A3">
        <w:t>, 499-509.</w:t>
      </w:r>
      <w:r>
        <w:t xml:space="preserve"> doi:</w:t>
      </w:r>
      <w:r>
        <w:rPr>
          <w:rStyle w:val="article-headermeta-info-data"/>
        </w:rPr>
        <w:t>10.1002/ejsp.75</w:t>
      </w:r>
    </w:p>
    <w:p w14:paraId="5D4C7E07" w14:textId="77777777" w:rsidR="00644F01" w:rsidRPr="00644F01" w:rsidRDefault="00644F01" w:rsidP="00E70436">
      <w:pPr>
        <w:widowControl w:val="0"/>
        <w:ind w:left="720" w:hanging="720"/>
      </w:pPr>
      <w:r w:rsidRPr="00644F01">
        <w:t>National Res</w:t>
      </w:r>
      <w:r>
        <w:t>earch Council</w:t>
      </w:r>
      <w:r w:rsidRPr="00644F01">
        <w:t xml:space="preserve"> (2013). </w:t>
      </w:r>
      <w:r w:rsidRPr="00644F01">
        <w:rPr>
          <w:i/>
          <w:iCs/>
        </w:rPr>
        <w:t>Workforce needs in veterinary medicine.</w:t>
      </w:r>
      <w:r>
        <w:t xml:space="preserve"> Washington</w:t>
      </w:r>
      <w:r w:rsidRPr="00644F01">
        <w:t xml:space="preserve"> D</w:t>
      </w:r>
      <w:r>
        <w:t>.</w:t>
      </w:r>
      <w:r w:rsidRPr="00644F01">
        <w:t>C</w:t>
      </w:r>
      <w:r>
        <w:t>.</w:t>
      </w:r>
      <w:r w:rsidRPr="00644F01">
        <w:t>: The National Academies Press.</w:t>
      </w:r>
    </w:p>
    <w:p w14:paraId="5A8BACAE" w14:textId="77777777" w:rsidR="008565BF" w:rsidRDefault="008565BF" w:rsidP="00E70436">
      <w:pPr>
        <w:widowControl w:val="0"/>
        <w:ind w:left="720" w:hanging="720"/>
      </w:pPr>
      <w:r w:rsidRPr="007F4E92">
        <w:t>National Science Foundati</w:t>
      </w:r>
      <w:r>
        <w:t>on (</w:t>
      </w:r>
      <w:r w:rsidRPr="007F4E92">
        <w:t>2015</w:t>
      </w:r>
      <w:r>
        <w:t xml:space="preserve">). </w:t>
      </w:r>
      <w:r w:rsidRPr="003D391D">
        <w:rPr>
          <w:rStyle w:val="title-text"/>
          <w:i/>
        </w:rPr>
        <w:t>Women, minorities, and persons with disabilities in science and engineering</w:t>
      </w:r>
      <w:r>
        <w:rPr>
          <w:rStyle w:val="title-text"/>
        </w:rPr>
        <w:t xml:space="preserve">. Retrieved from </w:t>
      </w:r>
      <w:r w:rsidRPr="00D30F4A">
        <w:rPr>
          <w:rStyle w:val="title-text"/>
        </w:rPr>
        <w:t>https://www.nsf.gov/statistics/2017/nsf17310/digest/</w:t>
      </w:r>
    </w:p>
    <w:p w14:paraId="3B6C7CC2" w14:textId="77777777" w:rsidR="008565BF" w:rsidRPr="007A772F" w:rsidRDefault="008565BF" w:rsidP="00E70436">
      <w:pPr>
        <w:widowControl w:val="0"/>
        <w:ind w:left="720" w:hanging="720"/>
      </w:pPr>
      <w:bookmarkStart w:id="11" w:name="_Hlk506738134"/>
      <w:r w:rsidRPr="007A772F">
        <w:t>Parks-</w:t>
      </w:r>
      <w:proofErr w:type="spellStart"/>
      <w:r w:rsidRPr="007A772F">
        <w:t>Stamm</w:t>
      </w:r>
      <w:proofErr w:type="spellEnd"/>
      <w:r w:rsidRPr="007A772F">
        <w:t xml:space="preserve">, E. J., Heilman, M. E., &amp; </w:t>
      </w:r>
      <w:proofErr w:type="spellStart"/>
      <w:r w:rsidRPr="007A772F">
        <w:t>Hearns</w:t>
      </w:r>
      <w:proofErr w:type="spellEnd"/>
      <w:r w:rsidRPr="007A772F">
        <w:t xml:space="preserve">, K. A. (2008). Motivated to penalize: Women's </w:t>
      </w:r>
      <w:r w:rsidRPr="007A772F">
        <w:lastRenderedPageBreak/>
        <w:t xml:space="preserve">strategic rejection of successful women. </w:t>
      </w:r>
      <w:r w:rsidRPr="007A772F">
        <w:rPr>
          <w:i/>
          <w:iCs/>
        </w:rPr>
        <w:t>Personality and Social Psychology Bulletin</w:t>
      </w:r>
      <w:r w:rsidRPr="007A772F">
        <w:t xml:space="preserve">, </w:t>
      </w:r>
      <w:r w:rsidRPr="007A772F">
        <w:rPr>
          <w:i/>
          <w:iCs/>
        </w:rPr>
        <w:t>34</w:t>
      </w:r>
      <w:r w:rsidRPr="007A772F">
        <w:t>, 237-247.</w:t>
      </w:r>
      <w:r>
        <w:t xml:space="preserve"> doi:</w:t>
      </w:r>
      <w:r w:rsidRPr="007A772F">
        <w:t>10.1177/0146167207310027</w:t>
      </w:r>
    </w:p>
    <w:bookmarkEnd w:id="11"/>
    <w:p w14:paraId="738B6A53" w14:textId="77777777" w:rsidR="008565BF" w:rsidRDefault="008565BF" w:rsidP="00E70436">
      <w:pPr>
        <w:widowControl w:val="0"/>
        <w:ind w:left="720" w:hanging="720"/>
      </w:pPr>
      <w:r w:rsidRPr="00E332C8">
        <w:t xml:space="preserve">Ramsey, L. R., Betz, D. E., &amp; </w:t>
      </w:r>
      <w:proofErr w:type="spellStart"/>
      <w:r w:rsidRPr="00E332C8">
        <w:t>Sekaquaptewa</w:t>
      </w:r>
      <w:proofErr w:type="spellEnd"/>
      <w:r w:rsidRPr="00E332C8">
        <w:t xml:space="preserve">, D. (2013). The effects of an academic environment intervention on science identification among women in STEM. </w:t>
      </w:r>
      <w:r w:rsidRPr="00E332C8">
        <w:rPr>
          <w:i/>
          <w:iCs/>
        </w:rPr>
        <w:t>Social Psychology of Education</w:t>
      </w:r>
      <w:r w:rsidRPr="00E332C8">
        <w:t xml:space="preserve">, </w:t>
      </w:r>
      <w:r w:rsidRPr="00E332C8">
        <w:rPr>
          <w:i/>
          <w:iCs/>
        </w:rPr>
        <w:t>16</w:t>
      </w:r>
      <w:r w:rsidRPr="00E332C8">
        <w:t>, 377-397.</w:t>
      </w:r>
      <w:r>
        <w:t xml:space="preserve"> </w:t>
      </w:r>
      <w:r w:rsidRPr="00574985">
        <w:t>doi:10.1037/e608332013-001</w:t>
      </w:r>
    </w:p>
    <w:p w14:paraId="467AD62E" w14:textId="77777777" w:rsidR="00023229" w:rsidRDefault="00023229" w:rsidP="00E70436">
      <w:pPr>
        <w:widowControl w:val="0"/>
        <w:ind w:left="720" w:hanging="720"/>
      </w:pPr>
      <w:r w:rsidRPr="00023229">
        <w:t xml:space="preserve">Rudman, L. A., &amp; Phelan, J. E. (2010). The effect of priming gender roles on women’s implicit gender beliefs and career aspirations. </w:t>
      </w:r>
      <w:r w:rsidRPr="00AA2A4C">
        <w:rPr>
          <w:i/>
        </w:rPr>
        <w:t>Social Psychology, 41</w:t>
      </w:r>
      <w:r>
        <w:t xml:space="preserve">, 191-202. </w:t>
      </w:r>
      <w:proofErr w:type="spellStart"/>
      <w:r>
        <w:t>doi</w:t>
      </w:r>
      <w:proofErr w:type="spellEnd"/>
      <w:r>
        <w:t>:</w:t>
      </w:r>
      <w:r w:rsidRPr="00023229">
        <w:t xml:space="preserve"> 10.1027/1864-9335/a000027</w:t>
      </w:r>
    </w:p>
    <w:p w14:paraId="71778F6E" w14:textId="77777777" w:rsidR="008565BF" w:rsidRDefault="008565BF" w:rsidP="00E70436">
      <w:pPr>
        <w:widowControl w:val="0"/>
        <w:ind w:left="720" w:hanging="720"/>
      </w:pPr>
      <w:r w:rsidRPr="004455C6">
        <w:t xml:space="preserve">Settles, I. H. (2004). When multiple identities interfere: The role of identity centrality. </w:t>
      </w:r>
      <w:r w:rsidRPr="004455C6">
        <w:rPr>
          <w:i/>
          <w:iCs/>
        </w:rPr>
        <w:t>Personality and Social Psychology Bulletin</w:t>
      </w:r>
      <w:r w:rsidRPr="004455C6">
        <w:t xml:space="preserve">, </w:t>
      </w:r>
      <w:r w:rsidRPr="004455C6">
        <w:rPr>
          <w:i/>
          <w:iCs/>
        </w:rPr>
        <w:t>30</w:t>
      </w:r>
      <w:r w:rsidRPr="004455C6">
        <w:t>, 487-500.</w:t>
      </w:r>
      <w:r>
        <w:t xml:space="preserve"> </w:t>
      </w:r>
      <w:r w:rsidR="00B754C1">
        <w:t>doi:10.1177/014616720326188</w:t>
      </w:r>
    </w:p>
    <w:p w14:paraId="12C65E4F" w14:textId="77777777" w:rsidR="008F62AF" w:rsidRDefault="008F62AF">
      <w:pPr>
        <w:pStyle w:val="NormalWeb"/>
        <w:widowControl w:val="0"/>
        <w:spacing w:before="0" w:beforeAutospacing="0" w:after="0" w:afterAutospacing="0" w:line="480" w:lineRule="auto"/>
        <w:ind w:left="720" w:hanging="720"/>
        <w:rPr>
          <w:noProof/>
        </w:rPr>
      </w:pPr>
      <w:r w:rsidRPr="00C63499">
        <w:rPr>
          <w:noProof/>
        </w:rPr>
        <w:t>Smith, C. A. (2006). The gender shift in veterinary medicine</w:t>
      </w:r>
      <w:r>
        <w:rPr>
          <w:noProof/>
        </w:rPr>
        <w:t>: Cause and e</w:t>
      </w:r>
      <w:r w:rsidRPr="00C63499">
        <w:rPr>
          <w:noProof/>
        </w:rPr>
        <w:t xml:space="preserve">ffect. </w:t>
      </w:r>
      <w:r w:rsidRPr="00C63499">
        <w:rPr>
          <w:i/>
          <w:noProof/>
        </w:rPr>
        <w:t>Veterinary Clinics of North America: Small Animal Practice, 36</w:t>
      </w:r>
      <w:r w:rsidRPr="00C63499">
        <w:rPr>
          <w:noProof/>
        </w:rPr>
        <w:t>, 329–339. doi:10.1016/j.cvsm.2005.11.001</w:t>
      </w:r>
    </w:p>
    <w:p w14:paraId="5F1CAD2D" w14:textId="77777777" w:rsidR="00E26C6A" w:rsidRPr="003112A6" w:rsidRDefault="00E26C6A">
      <w:pPr>
        <w:widowControl w:val="0"/>
        <w:ind w:left="720" w:hanging="720"/>
        <w:contextualSpacing/>
      </w:pPr>
      <w:r w:rsidRPr="003112A6">
        <w:t xml:space="preserve">Steinke, J. (2005). Cultural representations of gender and science: Portrayals of female scientists and engineers in popular films. </w:t>
      </w:r>
      <w:r w:rsidRPr="003112A6">
        <w:rPr>
          <w:i/>
          <w:iCs/>
        </w:rPr>
        <w:t>Science Communication</w:t>
      </w:r>
      <w:r w:rsidRPr="003112A6">
        <w:t xml:space="preserve">, </w:t>
      </w:r>
      <w:r w:rsidRPr="003112A6">
        <w:rPr>
          <w:i/>
          <w:iCs/>
        </w:rPr>
        <w:t>27</w:t>
      </w:r>
      <w:r w:rsidRPr="003112A6">
        <w:t>, 27-63.</w:t>
      </w:r>
      <w:r w:rsidR="008F62AF">
        <w:t xml:space="preserve"> </w:t>
      </w:r>
      <w:r w:rsidR="008F62AF" w:rsidRPr="008F62AF">
        <w:t>doi:10.1177/1075547005278610</w:t>
      </w:r>
    </w:p>
    <w:p w14:paraId="6A2C8531" w14:textId="77777777" w:rsidR="008565BF" w:rsidRPr="00B678A3" w:rsidRDefault="008565BF" w:rsidP="00E70436">
      <w:pPr>
        <w:widowControl w:val="0"/>
        <w:ind w:left="720" w:hanging="720"/>
      </w:pPr>
      <w:r w:rsidRPr="00B678A3">
        <w:t xml:space="preserve">Strahan, E. J., Wilson, A. E., </w:t>
      </w:r>
      <w:proofErr w:type="spellStart"/>
      <w:r w:rsidRPr="00B678A3">
        <w:t>Cressman</w:t>
      </w:r>
      <w:proofErr w:type="spellEnd"/>
      <w:r w:rsidRPr="00B678A3">
        <w:t xml:space="preserve">, K. E., &amp; </w:t>
      </w:r>
      <w:proofErr w:type="spellStart"/>
      <w:r w:rsidRPr="00B678A3">
        <w:t>Buote</w:t>
      </w:r>
      <w:proofErr w:type="spellEnd"/>
      <w:r w:rsidRPr="00B678A3">
        <w:t xml:space="preserve">, V. M. (2006). Comparing to perfection: How cultural norms for appearance affect social comparisons and self-image. </w:t>
      </w:r>
      <w:r w:rsidRPr="00B678A3">
        <w:rPr>
          <w:i/>
          <w:iCs/>
        </w:rPr>
        <w:t xml:space="preserve">Body </w:t>
      </w:r>
      <w:r>
        <w:rPr>
          <w:i/>
          <w:iCs/>
        </w:rPr>
        <w:t>I</w:t>
      </w:r>
      <w:r w:rsidRPr="00B678A3">
        <w:rPr>
          <w:i/>
          <w:iCs/>
        </w:rPr>
        <w:t>mage</w:t>
      </w:r>
      <w:r w:rsidRPr="00B678A3">
        <w:t xml:space="preserve">, </w:t>
      </w:r>
      <w:r w:rsidRPr="00B678A3">
        <w:rPr>
          <w:i/>
          <w:iCs/>
        </w:rPr>
        <w:t>3</w:t>
      </w:r>
      <w:r w:rsidRPr="00B678A3">
        <w:t>, 211-227.</w:t>
      </w:r>
      <w:r>
        <w:t xml:space="preserve"> </w:t>
      </w:r>
      <w:proofErr w:type="gramStart"/>
      <w:r>
        <w:t>doi:</w:t>
      </w:r>
      <w:r w:rsidRPr="00B678A3">
        <w:t>10.1016/j.bodyim</w:t>
      </w:r>
      <w:proofErr w:type="gramEnd"/>
      <w:r w:rsidRPr="00B678A3">
        <w:t>.2006.07.004</w:t>
      </w:r>
    </w:p>
    <w:p w14:paraId="48FE8D94" w14:textId="77777777" w:rsidR="008565BF" w:rsidRPr="00B678A3" w:rsidRDefault="008565BF" w:rsidP="00E70436">
      <w:pPr>
        <w:widowControl w:val="0"/>
        <w:ind w:left="720" w:hanging="720"/>
      </w:pPr>
      <w:r w:rsidRPr="00B678A3">
        <w:t xml:space="preserve">Taylor, S. E., &amp; </w:t>
      </w:r>
      <w:proofErr w:type="spellStart"/>
      <w:r w:rsidRPr="00B678A3">
        <w:t>Lobel</w:t>
      </w:r>
      <w:proofErr w:type="spellEnd"/>
      <w:r w:rsidRPr="00B678A3">
        <w:t>, M. (1989). Social comparison activity under threat:</w:t>
      </w:r>
      <w:r>
        <w:t xml:space="preserve"> D</w:t>
      </w:r>
      <w:r w:rsidRPr="00B678A3">
        <w:t xml:space="preserve">ownward evaluation and upward contacts. </w:t>
      </w:r>
      <w:r>
        <w:rPr>
          <w:i/>
          <w:iCs/>
        </w:rPr>
        <w:t>Psychological R</w:t>
      </w:r>
      <w:r w:rsidRPr="00B678A3">
        <w:rPr>
          <w:i/>
          <w:iCs/>
        </w:rPr>
        <w:t>eview</w:t>
      </w:r>
      <w:r w:rsidRPr="00B678A3">
        <w:t xml:space="preserve">, </w:t>
      </w:r>
      <w:r w:rsidRPr="00B678A3">
        <w:rPr>
          <w:i/>
          <w:iCs/>
        </w:rPr>
        <w:t>96</w:t>
      </w:r>
      <w:r w:rsidRPr="00B678A3">
        <w:t>, 569.</w:t>
      </w:r>
      <w:r>
        <w:t xml:space="preserve"> doi:</w:t>
      </w:r>
      <w:r w:rsidRPr="00B678A3">
        <w:t>10.1037/0033-295X.96.4.569</w:t>
      </w:r>
    </w:p>
    <w:p w14:paraId="688A4C5E" w14:textId="77777777" w:rsidR="008565BF" w:rsidRDefault="008565BF" w:rsidP="00E70436">
      <w:pPr>
        <w:widowControl w:val="0"/>
        <w:ind w:left="720" w:hanging="720"/>
      </w:pPr>
      <w:proofErr w:type="spellStart"/>
      <w:r w:rsidRPr="0064198D">
        <w:t>Tesser</w:t>
      </w:r>
      <w:proofErr w:type="spellEnd"/>
      <w:r w:rsidRPr="0064198D">
        <w:t xml:space="preserve">, A. (1988). Toward a self-evaluation maintenance model of social behavior. </w:t>
      </w:r>
      <w:r w:rsidRPr="0064198D">
        <w:rPr>
          <w:i/>
          <w:iCs/>
        </w:rPr>
        <w:t xml:space="preserve">Advances in </w:t>
      </w:r>
      <w:r>
        <w:rPr>
          <w:i/>
          <w:iCs/>
        </w:rPr>
        <w:lastRenderedPageBreak/>
        <w:t>E</w:t>
      </w:r>
      <w:r w:rsidRPr="0064198D">
        <w:rPr>
          <w:i/>
          <w:iCs/>
        </w:rPr>
        <w:t xml:space="preserve">xperimental </w:t>
      </w:r>
      <w:r>
        <w:rPr>
          <w:i/>
          <w:iCs/>
        </w:rPr>
        <w:t>Social P</w:t>
      </w:r>
      <w:r w:rsidRPr="0064198D">
        <w:rPr>
          <w:i/>
          <w:iCs/>
        </w:rPr>
        <w:t>sychology</w:t>
      </w:r>
      <w:r w:rsidRPr="0064198D">
        <w:t xml:space="preserve">, </w:t>
      </w:r>
      <w:r w:rsidRPr="0064198D">
        <w:rPr>
          <w:i/>
          <w:iCs/>
        </w:rPr>
        <w:t>21</w:t>
      </w:r>
      <w:r w:rsidRPr="0064198D">
        <w:t>, 181-227.</w:t>
      </w:r>
      <w:r>
        <w:t xml:space="preserve"> doi:</w:t>
      </w:r>
      <w:r w:rsidRPr="0064198D">
        <w:t>10.1016/S0065-2601(08)60227-0</w:t>
      </w:r>
    </w:p>
    <w:p w14:paraId="57E7A668" w14:textId="29E829EB" w:rsidR="00032948" w:rsidRDefault="00032948" w:rsidP="001F414C">
      <w:pPr>
        <w:widowControl w:val="0"/>
        <w:ind w:left="720" w:hanging="720"/>
      </w:pPr>
      <w:r>
        <w:t xml:space="preserve">UN News Center (2017). </w:t>
      </w:r>
      <w:r w:rsidRPr="00AA2A4C">
        <w:t>‘The world needs science and science needs women,’ UN says on International Day</w:t>
      </w:r>
      <w:r>
        <w:t xml:space="preserve">. Retrieved from </w:t>
      </w:r>
      <w:hyperlink r:id="rId8" w:history="1">
        <w:r w:rsidR="001F414C" w:rsidRPr="00893B45">
          <w:rPr>
            <w:rStyle w:val="Hyperlink"/>
          </w:rPr>
          <w:t>www.un.org/apps/news/story.asp?NewsID=56144</w:t>
        </w:r>
      </w:hyperlink>
    </w:p>
    <w:p w14:paraId="513B6087" w14:textId="1B708D0F" w:rsidR="001F414C" w:rsidRPr="001F414C" w:rsidRDefault="001F414C" w:rsidP="00E70436">
      <w:pPr>
        <w:widowControl w:val="0"/>
        <w:ind w:left="720" w:hanging="720"/>
      </w:pPr>
      <w:r>
        <w:t xml:space="preserve">UNESCO Institute for Statistics (2018). </w:t>
      </w:r>
      <w:r>
        <w:rPr>
          <w:i/>
        </w:rPr>
        <w:t xml:space="preserve">Women in Science. </w:t>
      </w:r>
      <w:r>
        <w:t xml:space="preserve">Retrieved from </w:t>
      </w:r>
      <w:r w:rsidRPr="001F414C">
        <w:t>http://uis.unesco.org/sites/default/files/documents/fs51-women-in-science-2018-en.pdf</w:t>
      </w:r>
    </w:p>
    <w:p w14:paraId="6CE7C676" w14:textId="373F16B6" w:rsidR="008565BF" w:rsidRDefault="008565BF" w:rsidP="001F414C">
      <w:pPr>
        <w:widowControl w:val="0"/>
        <w:ind w:left="720" w:hanging="720"/>
      </w:pPr>
      <w:r w:rsidRPr="0064198D">
        <w:t xml:space="preserve">Vaughan, P. W., &amp; Rogers, E. M. (2000). A staged model of communication effects: Evidence from an entertainment-education radio soap opera in Tanzania. </w:t>
      </w:r>
      <w:r>
        <w:rPr>
          <w:i/>
          <w:iCs/>
        </w:rPr>
        <w:t>Journal of H</w:t>
      </w:r>
      <w:r w:rsidRPr="0064198D">
        <w:rPr>
          <w:i/>
          <w:iCs/>
        </w:rPr>
        <w:t xml:space="preserve">ealth </w:t>
      </w:r>
      <w:r>
        <w:rPr>
          <w:i/>
          <w:iCs/>
        </w:rPr>
        <w:t>C</w:t>
      </w:r>
      <w:r w:rsidRPr="0064198D">
        <w:rPr>
          <w:i/>
          <w:iCs/>
        </w:rPr>
        <w:t>ommunication</w:t>
      </w:r>
      <w:r w:rsidRPr="0064198D">
        <w:t xml:space="preserve">, </w:t>
      </w:r>
      <w:r w:rsidRPr="0064198D">
        <w:rPr>
          <w:i/>
          <w:iCs/>
        </w:rPr>
        <w:t>5</w:t>
      </w:r>
      <w:r w:rsidRPr="0064198D">
        <w:t>, 203-227.</w:t>
      </w:r>
      <w:r>
        <w:t xml:space="preserve"> doi:10.1080/10810730050131398</w:t>
      </w:r>
    </w:p>
    <w:p w14:paraId="050FD657" w14:textId="2264C430" w:rsidR="00913B20" w:rsidRPr="00913B20" w:rsidRDefault="00913B20" w:rsidP="00913B20">
      <w:pPr>
        <w:widowControl w:val="0"/>
        <w:ind w:left="720" w:hanging="720"/>
      </w:pPr>
      <w:r w:rsidRPr="00913B20">
        <w:t xml:space="preserve">Veldhuis, J., </w:t>
      </w:r>
      <w:proofErr w:type="spellStart"/>
      <w:r w:rsidRPr="00913B20">
        <w:t>Konijn</w:t>
      </w:r>
      <w:proofErr w:type="spellEnd"/>
      <w:r w:rsidRPr="00913B20">
        <w:t xml:space="preserve">, E. A., &amp; Knobloch-Westerwick, S. (2017). Boost your body: Self-improvement magazine messages increase body satisfaction in young adults. </w:t>
      </w:r>
      <w:r w:rsidRPr="00913B20">
        <w:rPr>
          <w:i/>
          <w:iCs/>
        </w:rPr>
        <w:t xml:space="preserve">Health </w:t>
      </w:r>
      <w:r>
        <w:rPr>
          <w:i/>
          <w:iCs/>
        </w:rPr>
        <w:t>C</w:t>
      </w:r>
      <w:r w:rsidRPr="00913B20">
        <w:rPr>
          <w:i/>
          <w:iCs/>
        </w:rPr>
        <w:t>ommunication</w:t>
      </w:r>
      <w:r w:rsidRPr="00913B20">
        <w:t xml:space="preserve">, </w:t>
      </w:r>
      <w:r w:rsidRPr="00913B20">
        <w:rPr>
          <w:i/>
          <w:iCs/>
        </w:rPr>
        <w:t>32</w:t>
      </w:r>
      <w:r w:rsidRPr="00913B20">
        <w:t>, 200-210.</w:t>
      </w:r>
      <w:r>
        <w:t xml:space="preserve"> </w:t>
      </w:r>
      <w:r w:rsidRPr="00913B20">
        <w:t>doi:10.1080/10410236.2015.1113482</w:t>
      </w:r>
    </w:p>
    <w:p w14:paraId="12B57F2D" w14:textId="77777777" w:rsidR="007541D3" w:rsidRPr="0064198D" w:rsidRDefault="007541D3">
      <w:pPr>
        <w:widowControl w:val="0"/>
        <w:ind w:left="720" w:hanging="720"/>
      </w:pPr>
      <w:r w:rsidRPr="007541D3">
        <w:t xml:space="preserve">Wills, T. A. (1981). Downward comparison principles in social psychology. </w:t>
      </w:r>
      <w:r w:rsidRPr="007541D3">
        <w:rPr>
          <w:i/>
        </w:rPr>
        <w:t>Psychological Bulletin, 90</w:t>
      </w:r>
      <w:r w:rsidRPr="007541D3">
        <w:t>, 245.</w:t>
      </w:r>
      <w:r w:rsidR="00B506B9">
        <w:t xml:space="preserve"> </w:t>
      </w:r>
      <w:r w:rsidR="00B506B9" w:rsidRPr="00B506B9">
        <w:t>doi:10.1037/0033-2909.90.2.245</w:t>
      </w:r>
    </w:p>
    <w:p w14:paraId="57DCA0D0" w14:textId="77777777" w:rsidR="008565BF" w:rsidRDefault="008565BF">
      <w:pPr>
        <w:widowControl w:val="0"/>
        <w:ind w:left="720" w:hanging="720"/>
      </w:pPr>
      <w:r>
        <w:t>Women’s Media Center (</w:t>
      </w:r>
      <w:r w:rsidRPr="00E50CA7">
        <w:t>2015</w:t>
      </w:r>
      <w:r>
        <w:t xml:space="preserve">). </w:t>
      </w:r>
      <w:r w:rsidRPr="003D391D">
        <w:rPr>
          <w:i/>
        </w:rPr>
        <w:t>The status of women in U.S. media 2015.</w:t>
      </w:r>
      <w:r>
        <w:t xml:space="preserve"> Retrieved from </w:t>
      </w:r>
      <w:hyperlink r:id="rId9" w:history="1">
        <w:r w:rsidR="007541D3" w:rsidRPr="0019439B">
          <w:rPr>
            <w:rStyle w:val="Hyperlink"/>
          </w:rPr>
          <w:t>http://www.womensmediacenter.com/bsdimg/statusreport/2015</w:t>
        </w:r>
      </w:hyperlink>
      <w:r w:rsidR="00ED2352">
        <w:t>.</w:t>
      </w:r>
    </w:p>
    <w:p w14:paraId="46121FA2" w14:textId="77777777" w:rsidR="007541D3" w:rsidRDefault="007541D3" w:rsidP="00E70436">
      <w:pPr>
        <w:widowControl w:val="0"/>
        <w:ind w:left="720" w:hanging="720"/>
      </w:pPr>
      <w:r w:rsidRPr="007541D3">
        <w:t xml:space="preserve">Ziegler, A., &amp; </w:t>
      </w:r>
      <w:proofErr w:type="spellStart"/>
      <w:r w:rsidRPr="007541D3">
        <w:t>Stoeger</w:t>
      </w:r>
      <w:proofErr w:type="spellEnd"/>
      <w:r w:rsidRPr="007541D3">
        <w:t xml:space="preserve">, H. (2008). Effects of role models from films on short-term ratings of intent, interest, and self-assessment of ability by high school youth: A study of gender-stereotyped academic subjects. </w:t>
      </w:r>
      <w:r w:rsidRPr="007541D3">
        <w:rPr>
          <w:i/>
        </w:rPr>
        <w:t>Psychological Reports, 102</w:t>
      </w:r>
      <w:r w:rsidRPr="007541D3">
        <w:t>, 509-531.</w:t>
      </w:r>
      <w:r w:rsidR="00B506B9">
        <w:t xml:space="preserve"> </w:t>
      </w:r>
      <w:r w:rsidR="00B506B9" w:rsidRPr="00B506B9">
        <w:t>doi:10.2466/pr0.102.2.509-531</w:t>
      </w:r>
    </w:p>
    <w:p w14:paraId="40545C0C" w14:textId="77777777" w:rsidR="00BB1516" w:rsidRDefault="008565BF" w:rsidP="00E70436">
      <w:pPr>
        <w:widowControl w:val="0"/>
        <w:ind w:left="720" w:hanging="720"/>
        <w:rPr>
          <w:b/>
        </w:rPr>
      </w:pPr>
      <w:r>
        <w:rPr>
          <w:rFonts w:eastAsia="Times New Roman"/>
        </w:rPr>
        <w:t>Zirkel, S. (2002). Is there a</w:t>
      </w:r>
      <w:r w:rsidRPr="00EC4526">
        <w:rPr>
          <w:rFonts w:eastAsia="Times New Roman"/>
        </w:rPr>
        <w:t xml:space="preserve"> </w:t>
      </w:r>
      <w:r>
        <w:rPr>
          <w:rFonts w:eastAsia="Times New Roman"/>
        </w:rPr>
        <w:t>place for me? Role models and academic i</w:t>
      </w:r>
      <w:r w:rsidRPr="00EC4526">
        <w:rPr>
          <w:rFonts w:eastAsia="Times New Roman"/>
        </w:rPr>
        <w:t xml:space="preserve">dentity among White </w:t>
      </w:r>
      <w:r>
        <w:rPr>
          <w:rFonts w:eastAsia="Times New Roman"/>
        </w:rPr>
        <w:t>students and students of c</w:t>
      </w:r>
      <w:r w:rsidRPr="00EC4526">
        <w:rPr>
          <w:rFonts w:eastAsia="Times New Roman"/>
        </w:rPr>
        <w:t xml:space="preserve">olor. </w:t>
      </w:r>
      <w:r w:rsidRPr="00EC4526">
        <w:rPr>
          <w:rFonts w:eastAsia="Times New Roman"/>
          <w:i/>
        </w:rPr>
        <w:t>Teachers College Record, 104</w:t>
      </w:r>
      <w:r w:rsidRPr="00EC4526">
        <w:rPr>
          <w:rFonts w:eastAsia="Times New Roman"/>
        </w:rPr>
        <w:t>, 357–376. doi:10.1111/1467-9620.00166</w:t>
      </w:r>
      <w:r w:rsidR="00BB1516">
        <w:rPr>
          <w:b/>
        </w:rPr>
        <w:br w:type="page"/>
      </w:r>
    </w:p>
    <w:p w14:paraId="7F5C1C29" w14:textId="77777777" w:rsidR="00C2201F" w:rsidRDefault="00C2201F" w:rsidP="00E70436">
      <w:pPr>
        <w:widowControl w:val="0"/>
        <w:sectPr w:rsidR="00C2201F" w:rsidSect="00441FE4">
          <w:headerReference w:type="default" r:id="rId10"/>
          <w:headerReference w:type="first" r:id="rId11"/>
          <w:endnotePr>
            <w:numFmt w:val="decimal"/>
            <w:numRestart w:val="eachSect"/>
          </w:endnotePr>
          <w:pgSz w:w="12240" w:h="15840"/>
          <w:pgMar w:top="1440" w:right="1440" w:bottom="1440" w:left="1440" w:header="720" w:footer="720" w:gutter="0"/>
          <w:cols w:space="720"/>
          <w:titlePg/>
          <w:docGrid w:linePitch="360"/>
        </w:sectPr>
      </w:pPr>
    </w:p>
    <w:p w14:paraId="0BB14F01" w14:textId="77777777" w:rsidR="008565BF" w:rsidRDefault="008565BF" w:rsidP="00E70436">
      <w:pPr>
        <w:widowControl w:val="0"/>
      </w:pPr>
      <w:r>
        <w:lastRenderedPageBreak/>
        <w:t>Table 1</w:t>
      </w:r>
    </w:p>
    <w:p w14:paraId="2C308174" w14:textId="3C3AA5D2" w:rsidR="008565BF" w:rsidRDefault="008565BF" w:rsidP="00E70436">
      <w:pPr>
        <w:widowControl w:val="0"/>
      </w:pPr>
      <w:r>
        <w:rPr>
          <w:i/>
        </w:rPr>
        <w:t xml:space="preserve">Pretest </w:t>
      </w:r>
      <w:r w:rsidR="00117F08">
        <w:rPr>
          <w:i/>
        </w:rPr>
        <w:t>M</w:t>
      </w:r>
      <w:r>
        <w:rPr>
          <w:i/>
        </w:rPr>
        <w:t xml:space="preserve">eans and </w:t>
      </w:r>
      <w:r w:rsidR="00117F08">
        <w:rPr>
          <w:i/>
        </w:rPr>
        <w:t>S</w:t>
      </w:r>
      <w:r>
        <w:rPr>
          <w:i/>
        </w:rPr>
        <w:t xml:space="preserve">tandard </w:t>
      </w:r>
      <w:r w:rsidR="00117F08">
        <w:rPr>
          <w:i/>
        </w:rPr>
        <w:t>D</w:t>
      </w:r>
      <w:r>
        <w:rPr>
          <w:i/>
        </w:rPr>
        <w:t xml:space="preserve">eviations of </w:t>
      </w:r>
      <w:r w:rsidR="00117F08">
        <w:rPr>
          <w:i/>
        </w:rPr>
        <w:t>F</w:t>
      </w:r>
      <w:r>
        <w:rPr>
          <w:i/>
        </w:rPr>
        <w:t xml:space="preserve">emale </w:t>
      </w:r>
      <w:r w:rsidR="00117F08">
        <w:rPr>
          <w:i/>
        </w:rPr>
        <w:t>R</w:t>
      </w:r>
      <w:r>
        <w:rPr>
          <w:i/>
        </w:rPr>
        <w:t xml:space="preserve">ole </w:t>
      </w:r>
      <w:r w:rsidR="00117F08">
        <w:rPr>
          <w:i/>
        </w:rPr>
        <w:t>M</w:t>
      </w:r>
      <w:r>
        <w:rPr>
          <w:i/>
        </w:rPr>
        <w:t>odel</w:t>
      </w:r>
      <w:r w:rsidR="00350A7B">
        <w:rPr>
          <w:i/>
        </w:rPr>
        <w:t xml:space="preserve"> </w:t>
      </w:r>
      <w:r w:rsidR="00117F08">
        <w:rPr>
          <w:i/>
        </w:rPr>
        <w:t>S</w:t>
      </w:r>
      <w:r w:rsidR="00350A7B">
        <w:rPr>
          <w:i/>
        </w:rPr>
        <w:t xml:space="preserve">timuli </w:t>
      </w:r>
      <w:r w:rsidR="00117F08">
        <w:rPr>
          <w:i/>
        </w:rPr>
        <w:t>A</w:t>
      </w:r>
      <w:r w:rsidR="00350A7B">
        <w:rPr>
          <w:i/>
        </w:rPr>
        <w:t>rticles</w:t>
      </w:r>
    </w:p>
    <w:tbl>
      <w:tblPr>
        <w:tblW w:w="12780" w:type="dxa"/>
        <w:tblBorders>
          <w:top w:val="nil"/>
          <w:left w:val="nil"/>
          <w:bottom w:val="nil"/>
          <w:right w:val="nil"/>
          <w:insideH w:val="nil"/>
          <w:insideV w:val="nil"/>
        </w:tblBorders>
        <w:tblLayout w:type="fixed"/>
        <w:tblLook w:val="0400" w:firstRow="0" w:lastRow="0" w:firstColumn="0" w:lastColumn="0" w:noHBand="0" w:noVBand="1"/>
      </w:tblPr>
      <w:tblGrid>
        <w:gridCol w:w="2070"/>
        <w:gridCol w:w="1071"/>
        <w:gridCol w:w="1071"/>
        <w:gridCol w:w="1071"/>
        <w:gridCol w:w="1071"/>
        <w:gridCol w:w="1071"/>
        <w:gridCol w:w="1071"/>
        <w:gridCol w:w="1071"/>
        <w:gridCol w:w="1071"/>
        <w:gridCol w:w="1071"/>
        <w:gridCol w:w="1071"/>
      </w:tblGrid>
      <w:tr w:rsidR="004E4FDB" w:rsidRPr="00F630DF" w14:paraId="3E992779" w14:textId="77777777" w:rsidTr="00AA2A4C">
        <w:trPr>
          <w:trHeight w:val="672"/>
        </w:trPr>
        <w:tc>
          <w:tcPr>
            <w:tcW w:w="2070" w:type="dxa"/>
            <w:tcBorders>
              <w:top w:val="single" w:sz="4" w:space="0" w:color="000000"/>
            </w:tcBorders>
            <w:vAlign w:val="center"/>
          </w:tcPr>
          <w:p w14:paraId="5BE2F96F" w14:textId="77777777" w:rsidR="004E4FDB" w:rsidRPr="00E91D6A" w:rsidRDefault="004E4FDB" w:rsidP="00E70436">
            <w:pPr>
              <w:widowControl w:val="0"/>
              <w:jc w:val="center"/>
            </w:pPr>
          </w:p>
        </w:tc>
        <w:tc>
          <w:tcPr>
            <w:tcW w:w="2142" w:type="dxa"/>
            <w:gridSpan w:val="2"/>
            <w:tcBorders>
              <w:top w:val="single" w:sz="4" w:space="0" w:color="000000"/>
              <w:bottom w:val="single" w:sz="4" w:space="0" w:color="000000"/>
            </w:tcBorders>
            <w:vAlign w:val="center"/>
          </w:tcPr>
          <w:p w14:paraId="2D87FD4E" w14:textId="77777777" w:rsidR="004E4FDB" w:rsidRPr="00E91D6A" w:rsidRDefault="00350A7B" w:rsidP="00E70436">
            <w:pPr>
              <w:widowControl w:val="0"/>
              <w:jc w:val="center"/>
            </w:pPr>
            <w:r>
              <w:t>Portrayal of Family</w:t>
            </w:r>
          </w:p>
        </w:tc>
        <w:tc>
          <w:tcPr>
            <w:tcW w:w="2142" w:type="dxa"/>
            <w:gridSpan w:val="2"/>
            <w:tcBorders>
              <w:top w:val="single" w:sz="4" w:space="0" w:color="000000"/>
              <w:bottom w:val="single" w:sz="4" w:space="0" w:color="000000"/>
            </w:tcBorders>
            <w:vAlign w:val="center"/>
          </w:tcPr>
          <w:p w14:paraId="550D54FA" w14:textId="77777777" w:rsidR="004E4FDB" w:rsidRDefault="004E4FDB" w:rsidP="00E70436">
            <w:pPr>
              <w:widowControl w:val="0"/>
              <w:jc w:val="center"/>
            </w:pPr>
            <w:r>
              <w:t>Enjoyable</w:t>
            </w:r>
          </w:p>
        </w:tc>
        <w:tc>
          <w:tcPr>
            <w:tcW w:w="2142" w:type="dxa"/>
            <w:gridSpan w:val="2"/>
            <w:tcBorders>
              <w:top w:val="single" w:sz="4" w:space="0" w:color="000000"/>
              <w:bottom w:val="single" w:sz="4" w:space="0" w:color="000000"/>
            </w:tcBorders>
            <w:vAlign w:val="center"/>
          </w:tcPr>
          <w:p w14:paraId="7B81EB22" w14:textId="77777777" w:rsidR="004E4FDB" w:rsidRDefault="004E4FDB" w:rsidP="00E70436">
            <w:pPr>
              <w:widowControl w:val="0"/>
              <w:jc w:val="center"/>
            </w:pPr>
            <w:r>
              <w:t>Interesting</w:t>
            </w:r>
          </w:p>
        </w:tc>
        <w:tc>
          <w:tcPr>
            <w:tcW w:w="2142" w:type="dxa"/>
            <w:gridSpan w:val="2"/>
            <w:tcBorders>
              <w:top w:val="single" w:sz="4" w:space="0" w:color="000000"/>
              <w:bottom w:val="single" w:sz="4" w:space="0" w:color="000000"/>
            </w:tcBorders>
            <w:vAlign w:val="center"/>
          </w:tcPr>
          <w:p w14:paraId="42268245" w14:textId="77777777" w:rsidR="004E4FDB" w:rsidRDefault="004E4FDB" w:rsidP="00E70436">
            <w:pPr>
              <w:widowControl w:val="0"/>
              <w:jc w:val="center"/>
            </w:pPr>
            <w:r>
              <w:t>Informative</w:t>
            </w:r>
          </w:p>
        </w:tc>
        <w:tc>
          <w:tcPr>
            <w:tcW w:w="2142" w:type="dxa"/>
            <w:gridSpan w:val="2"/>
            <w:tcBorders>
              <w:top w:val="single" w:sz="4" w:space="0" w:color="000000"/>
              <w:bottom w:val="single" w:sz="4" w:space="0" w:color="000000"/>
            </w:tcBorders>
            <w:vAlign w:val="center"/>
          </w:tcPr>
          <w:p w14:paraId="5A6061EA" w14:textId="77777777" w:rsidR="004E4FDB" w:rsidRDefault="004E4FDB" w:rsidP="00E70436">
            <w:pPr>
              <w:widowControl w:val="0"/>
              <w:jc w:val="center"/>
            </w:pPr>
            <w:r>
              <w:t>Realistic</w:t>
            </w:r>
          </w:p>
        </w:tc>
      </w:tr>
      <w:tr w:rsidR="004E4FDB" w:rsidRPr="00F630DF" w14:paraId="5EC0B198" w14:textId="77777777" w:rsidTr="00AA2A4C">
        <w:trPr>
          <w:trHeight w:val="672"/>
        </w:trPr>
        <w:tc>
          <w:tcPr>
            <w:tcW w:w="2070" w:type="dxa"/>
            <w:tcBorders>
              <w:top w:val="single" w:sz="4" w:space="0" w:color="000000"/>
            </w:tcBorders>
            <w:vAlign w:val="center"/>
          </w:tcPr>
          <w:p w14:paraId="148C2227" w14:textId="77777777" w:rsidR="004E4FDB" w:rsidRPr="00E91D6A" w:rsidRDefault="004E4FDB" w:rsidP="00E70436">
            <w:pPr>
              <w:widowControl w:val="0"/>
              <w:jc w:val="center"/>
            </w:pPr>
          </w:p>
        </w:tc>
        <w:tc>
          <w:tcPr>
            <w:tcW w:w="1071" w:type="dxa"/>
            <w:tcBorders>
              <w:top w:val="single" w:sz="4" w:space="0" w:color="000000"/>
              <w:bottom w:val="single" w:sz="4" w:space="0" w:color="000000"/>
            </w:tcBorders>
            <w:vAlign w:val="center"/>
          </w:tcPr>
          <w:p w14:paraId="5F06F9CC" w14:textId="77777777" w:rsidR="004E4FDB" w:rsidRPr="008375CA" w:rsidRDefault="004E4FDB" w:rsidP="00E70436">
            <w:pPr>
              <w:widowControl w:val="0"/>
              <w:jc w:val="center"/>
              <w:rPr>
                <w:i/>
              </w:rPr>
            </w:pPr>
            <w:r w:rsidRPr="008375CA">
              <w:rPr>
                <w:i/>
              </w:rPr>
              <w:t>M</w:t>
            </w:r>
          </w:p>
        </w:tc>
        <w:tc>
          <w:tcPr>
            <w:tcW w:w="1071" w:type="dxa"/>
            <w:tcBorders>
              <w:top w:val="single" w:sz="4" w:space="0" w:color="000000"/>
              <w:bottom w:val="single" w:sz="4" w:space="0" w:color="000000"/>
            </w:tcBorders>
            <w:vAlign w:val="center"/>
          </w:tcPr>
          <w:p w14:paraId="29A9F9D4" w14:textId="77777777" w:rsidR="004E4FDB" w:rsidRPr="008375CA" w:rsidRDefault="004E4FDB" w:rsidP="00E70436">
            <w:pPr>
              <w:widowControl w:val="0"/>
              <w:jc w:val="center"/>
              <w:rPr>
                <w:i/>
              </w:rPr>
            </w:pPr>
            <w:r w:rsidRPr="008375CA">
              <w:rPr>
                <w:i/>
              </w:rPr>
              <w:t>SD</w:t>
            </w:r>
          </w:p>
        </w:tc>
        <w:tc>
          <w:tcPr>
            <w:tcW w:w="1071" w:type="dxa"/>
            <w:tcBorders>
              <w:top w:val="single" w:sz="4" w:space="0" w:color="000000"/>
              <w:bottom w:val="single" w:sz="4" w:space="0" w:color="auto"/>
            </w:tcBorders>
            <w:vAlign w:val="center"/>
          </w:tcPr>
          <w:p w14:paraId="78E1F103" w14:textId="77777777" w:rsidR="004E4FDB" w:rsidRPr="008375CA" w:rsidRDefault="004E4FDB" w:rsidP="00E70436">
            <w:pPr>
              <w:widowControl w:val="0"/>
              <w:jc w:val="center"/>
              <w:rPr>
                <w:i/>
              </w:rPr>
            </w:pPr>
            <w:r w:rsidRPr="008375CA">
              <w:rPr>
                <w:i/>
              </w:rPr>
              <w:t>M</w:t>
            </w:r>
          </w:p>
        </w:tc>
        <w:tc>
          <w:tcPr>
            <w:tcW w:w="1071" w:type="dxa"/>
            <w:tcBorders>
              <w:top w:val="single" w:sz="4" w:space="0" w:color="000000"/>
              <w:bottom w:val="single" w:sz="4" w:space="0" w:color="auto"/>
            </w:tcBorders>
            <w:vAlign w:val="center"/>
          </w:tcPr>
          <w:p w14:paraId="0EE7E65F" w14:textId="77777777" w:rsidR="004E4FDB" w:rsidRPr="008375CA" w:rsidRDefault="004E4FDB" w:rsidP="00E70436">
            <w:pPr>
              <w:widowControl w:val="0"/>
              <w:jc w:val="center"/>
              <w:rPr>
                <w:i/>
              </w:rPr>
            </w:pPr>
            <w:r w:rsidRPr="008375CA">
              <w:rPr>
                <w:i/>
              </w:rPr>
              <w:t>SD</w:t>
            </w:r>
          </w:p>
        </w:tc>
        <w:tc>
          <w:tcPr>
            <w:tcW w:w="1071" w:type="dxa"/>
            <w:tcBorders>
              <w:top w:val="single" w:sz="4" w:space="0" w:color="000000"/>
              <w:bottom w:val="single" w:sz="4" w:space="0" w:color="auto"/>
            </w:tcBorders>
            <w:vAlign w:val="center"/>
          </w:tcPr>
          <w:p w14:paraId="717D7BBD" w14:textId="77777777" w:rsidR="004E4FDB" w:rsidRPr="008375CA" w:rsidRDefault="004E4FDB" w:rsidP="00E70436">
            <w:pPr>
              <w:widowControl w:val="0"/>
              <w:jc w:val="center"/>
              <w:rPr>
                <w:i/>
              </w:rPr>
            </w:pPr>
            <w:r w:rsidRPr="008375CA">
              <w:rPr>
                <w:i/>
              </w:rPr>
              <w:t>M</w:t>
            </w:r>
          </w:p>
        </w:tc>
        <w:tc>
          <w:tcPr>
            <w:tcW w:w="1071" w:type="dxa"/>
            <w:tcBorders>
              <w:top w:val="single" w:sz="4" w:space="0" w:color="000000"/>
              <w:bottom w:val="single" w:sz="4" w:space="0" w:color="auto"/>
            </w:tcBorders>
            <w:vAlign w:val="center"/>
          </w:tcPr>
          <w:p w14:paraId="7600E875" w14:textId="77777777" w:rsidR="004E4FDB" w:rsidRPr="008375CA" w:rsidRDefault="004E4FDB" w:rsidP="00E70436">
            <w:pPr>
              <w:widowControl w:val="0"/>
              <w:jc w:val="center"/>
              <w:rPr>
                <w:i/>
              </w:rPr>
            </w:pPr>
            <w:r w:rsidRPr="008375CA">
              <w:rPr>
                <w:i/>
              </w:rPr>
              <w:t>SD</w:t>
            </w:r>
          </w:p>
        </w:tc>
        <w:tc>
          <w:tcPr>
            <w:tcW w:w="1071" w:type="dxa"/>
            <w:tcBorders>
              <w:top w:val="single" w:sz="4" w:space="0" w:color="000000"/>
              <w:bottom w:val="single" w:sz="4" w:space="0" w:color="auto"/>
            </w:tcBorders>
            <w:vAlign w:val="center"/>
          </w:tcPr>
          <w:p w14:paraId="1BE2D8CD" w14:textId="77777777" w:rsidR="004E4FDB" w:rsidRPr="008375CA" w:rsidRDefault="004E4FDB" w:rsidP="00E70436">
            <w:pPr>
              <w:widowControl w:val="0"/>
              <w:jc w:val="center"/>
              <w:rPr>
                <w:i/>
              </w:rPr>
            </w:pPr>
            <w:r w:rsidRPr="008375CA">
              <w:rPr>
                <w:i/>
              </w:rPr>
              <w:t>M</w:t>
            </w:r>
          </w:p>
        </w:tc>
        <w:tc>
          <w:tcPr>
            <w:tcW w:w="1071" w:type="dxa"/>
            <w:tcBorders>
              <w:top w:val="single" w:sz="4" w:space="0" w:color="000000"/>
              <w:bottom w:val="single" w:sz="4" w:space="0" w:color="auto"/>
            </w:tcBorders>
            <w:vAlign w:val="center"/>
          </w:tcPr>
          <w:p w14:paraId="68A3F388" w14:textId="77777777" w:rsidR="004E4FDB" w:rsidRPr="008375CA" w:rsidRDefault="004E4FDB" w:rsidP="00E70436">
            <w:pPr>
              <w:widowControl w:val="0"/>
              <w:jc w:val="center"/>
              <w:rPr>
                <w:i/>
              </w:rPr>
            </w:pPr>
            <w:r w:rsidRPr="008375CA">
              <w:rPr>
                <w:i/>
              </w:rPr>
              <w:t>SD</w:t>
            </w:r>
          </w:p>
        </w:tc>
        <w:tc>
          <w:tcPr>
            <w:tcW w:w="1071" w:type="dxa"/>
            <w:tcBorders>
              <w:top w:val="single" w:sz="4" w:space="0" w:color="000000"/>
              <w:bottom w:val="single" w:sz="4" w:space="0" w:color="auto"/>
            </w:tcBorders>
            <w:vAlign w:val="center"/>
          </w:tcPr>
          <w:p w14:paraId="74C2980C" w14:textId="77777777" w:rsidR="004E4FDB" w:rsidRPr="008375CA" w:rsidRDefault="004E4FDB" w:rsidP="00E70436">
            <w:pPr>
              <w:widowControl w:val="0"/>
              <w:jc w:val="center"/>
              <w:rPr>
                <w:i/>
              </w:rPr>
            </w:pPr>
            <w:r w:rsidRPr="008375CA">
              <w:rPr>
                <w:i/>
              </w:rPr>
              <w:t>M</w:t>
            </w:r>
          </w:p>
        </w:tc>
        <w:tc>
          <w:tcPr>
            <w:tcW w:w="1071" w:type="dxa"/>
            <w:tcBorders>
              <w:top w:val="single" w:sz="4" w:space="0" w:color="000000"/>
              <w:bottom w:val="single" w:sz="4" w:space="0" w:color="auto"/>
            </w:tcBorders>
            <w:vAlign w:val="center"/>
          </w:tcPr>
          <w:p w14:paraId="684FF6EC" w14:textId="77777777" w:rsidR="004E4FDB" w:rsidRPr="008375CA" w:rsidRDefault="004E4FDB" w:rsidP="00E70436">
            <w:pPr>
              <w:widowControl w:val="0"/>
              <w:jc w:val="center"/>
              <w:rPr>
                <w:i/>
              </w:rPr>
            </w:pPr>
            <w:r w:rsidRPr="008375CA">
              <w:rPr>
                <w:i/>
              </w:rPr>
              <w:t>SD</w:t>
            </w:r>
          </w:p>
        </w:tc>
      </w:tr>
      <w:tr w:rsidR="004E4FDB" w:rsidRPr="00F630DF" w14:paraId="7AA77DF7" w14:textId="77777777" w:rsidTr="00AA2A4C">
        <w:trPr>
          <w:trHeight w:val="672"/>
        </w:trPr>
        <w:tc>
          <w:tcPr>
            <w:tcW w:w="2070" w:type="dxa"/>
            <w:tcBorders>
              <w:top w:val="single" w:sz="4" w:space="0" w:color="000000"/>
              <w:bottom w:val="nil"/>
            </w:tcBorders>
            <w:vAlign w:val="center"/>
          </w:tcPr>
          <w:p w14:paraId="216A09B5" w14:textId="77777777" w:rsidR="004E4FDB" w:rsidRPr="00E91D6A" w:rsidRDefault="004E4FDB" w:rsidP="00E70436">
            <w:pPr>
              <w:widowControl w:val="0"/>
              <w:jc w:val="center"/>
            </w:pPr>
            <w:r>
              <w:t>Role Model: Claire</w:t>
            </w:r>
          </w:p>
        </w:tc>
        <w:tc>
          <w:tcPr>
            <w:tcW w:w="1071" w:type="dxa"/>
            <w:tcBorders>
              <w:top w:val="single" w:sz="4" w:space="0" w:color="000000"/>
              <w:bottom w:val="nil"/>
            </w:tcBorders>
            <w:vAlign w:val="center"/>
          </w:tcPr>
          <w:p w14:paraId="7C033765" w14:textId="77777777" w:rsidR="004E4FDB" w:rsidRPr="00880E85" w:rsidRDefault="004E4FDB" w:rsidP="00E70436">
            <w:pPr>
              <w:widowControl w:val="0"/>
              <w:jc w:val="center"/>
              <w:rPr>
                <w:i/>
              </w:rPr>
            </w:pPr>
          </w:p>
        </w:tc>
        <w:tc>
          <w:tcPr>
            <w:tcW w:w="1071" w:type="dxa"/>
            <w:tcBorders>
              <w:top w:val="single" w:sz="4" w:space="0" w:color="auto"/>
              <w:bottom w:val="nil"/>
            </w:tcBorders>
            <w:vAlign w:val="center"/>
          </w:tcPr>
          <w:p w14:paraId="22712B4F" w14:textId="77777777" w:rsidR="004E4FDB" w:rsidRPr="00880E85" w:rsidRDefault="004E4FDB" w:rsidP="00E70436">
            <w:pPr>
              <w:widowControl w:val="0"/>
              <w:jc w:val="center"/>
              <w:rPr>
                <w:i/>
              </w:rPr>
            </w:pPr>
          </w:p>
        </w:tc>
        <w:tc>
          <w:tcPr>
            <w:tcW w:w="1071" w:type="dxa"/>
            <w:tcBorders>
              <w:top w:val="single" w:sz="4" w:space="0" w:color="auto"/>
            </w:tcBorders>
            <w:vAlign w:val="center"/>
          </w:tcPr>
          <w:p w14:paraId="6A9734DD" w14:textId="77777777" w:rsidR="004E4FDB" w:rsidRPr="00880E85" w:rsidRDefault="004E4FDB" w:rsidP="00E70436">
            <w:pPr>
              <w:widowControl w:val="0"/>
              <w:jc w:val="center"/>
              <w:rPr>
                <w:i/>
              </w:rPr>
            </w:pPr>
          </w:p>
        </w:tc>
        <w:tc>
          <w:tcPr>
            <w:tcW w:w="1071" w:type="dxa"/>
            <w:tcBorders>
              <w:top w:val="single" w:sz="4" w:space="0" w:color="auto"/>
            </w:tcBorders>
            <w:vAlign w:val="center"/>
          </w:tcPr>
          <w:p w14:paraId="45D3E0D8" w14:textId="77777777" w:rsidR="004E4FDB" w:rsidRPr="00880E85" w:rsidRDefault="004E4FDB" w:rsidP="00E70436">
            <w:pPr>
              <w:widowControl w:val="0"/>
              <w:jc w:val="center"/>
              <w:rPr>
                <w:i/>
              </w:rPr>
            </w:pPr>
          </w:p>
        </w:tc>
        <w:tc>
          <w:tcPr>
            <w:tcW w:w="1071" w:type="dxa"/>
            <w:tcBorders>
              <w:top w:val="single" w:sz="4" w:space="0" w:color="auto"/>
            </w:tcBorders>
            <w:vAlign w:val="center"/>
          </w:tcPr>
          <w:p w14:paraId="6C65A126" w14:textId="77777777" w:rsidR="004E4FDB" w:rsidRPr="00880E85" w:rsidRDefault="004E4FDB" w:rsidP="00E70436">
            <w:pPr>
              <w:widowControl w:val="0"/>
              <w:jc w:val="center"/>
              <w:rPr>
                <w:i/>
              </w:rPr>
            </w:pPr>
          </w:p>
        </w:tc>
        <w:tc>
          <w:tcPr>
            <w:tcW w:w="1071" w:type="dxa"/>
            <w:tcBorders>
              <w:top w:val="single" w:sz="4" w:space="0" w:color="auto"/>
            </w:tcBorders>
            <w:vAlign w:val="center"/>
          </w:tcPr>
          <w:p w14:paraId="11E4111D" w14:textId="77777777" w:rsidR="004E4FDB" w:rsidRPr="00880E85" w:rsidRDefault="004E4FDB" w:rsidP="00E70436">
            <w:pPr>
              <w:widowControl w:val="0"/>
              <w:jc w:val="center"/>
              <w:rPr>
                <w:i/>
              </w:rPr>
            </w:pPr>
          </w:p>
        </w:tc>
        <w:tc>
          <w:tcPr>
            <w:tcW w:w="1071" w:type="dxa"/>
            <w:tcBorders>
              <w:top w:val="single" w:sz="4" w:space="0" w:color="auto"/>
            </w:tcBorders>
            <w:vAlign w:val="center"/>
          </w:tcPr>
          <w:p w14:paraId="757144FF" w14:textId="77777777" w:rsidR="004E4FDB" w:rsidRPr="00880E85" w:rsidRDefault="004E4FDB" w:rsidP="00E70436">
            <w:pPr>
              <w:widowControl w:val="0"/>
              <w:jc w:val="center"/>
              <w:rPr>
                <w:i/>
              </w:rPr>
            </w:pPr>
          </w:p>
        </w:tc>
        <w:tc>
          <w:tcPr>
            <w:tcW w:w="1071" w:type="dxa"/>
            <w:tcBorders>
              <w:top w:val="single" w:sz="4" w:space="0" w:color="auto"/>
            </w:tcBorders>
            <w:vAlign w:val="center"/>
          </w:tcPr>
          <w:p w14:paraId="1570E513" w14:textId="77777777" w:rsidR="004E4FDB" w:rsidRPr="00880E85" w:rsidRDefault="004E4FDB" w:rsidP="00E70436">
            <w:pPr>
              <w:widowControl w:val="0"/>
              <w:jc w:val="center"/>
              <w:rPr>
                <w:i/>
              </w:rPr>
            </w:pPr>
          </w:p>
        </w:tc>
        <w:tc>
          <w:tcPr>
            <w:tcW w:w="1071" w:type="dxa"/>
            <w:tcBorders>
              <w:top w:val="single" w:sz="4" w:space="0" w:color="auto"/>
            </w:tcBorders>
            <w:vAlign w:val="center"/>
          </w:tcPr>
          <w:p w14:paraId="2710B5E3" w14:textId="77777777" w:rsidR="004E4FDB" w:rsidRPr="00880E85" w:rsidRDefault="004E4FDB" w:rsidP="00E70436">
            <w:pPr>
              <w:widowControl w:val="0"/>
              <w:jc w:val="center"/>
              <w:rPr>
                <w:i/>
              </w:rPr>
            </w:pPr>
          </w:p>
        </w:tc>
        <w:tc>
          <w:tcPr>
            <w:tcW w:w="1071" w:type="dxa"/>
            <w:tcBorders>
              <w:top w:val="single" w:sz="4" w:space="0" w:color="auto"/>
            </w:tcBorders>
            <w:vAlign w:val="center"/>
          </w:tcPr>
          <w:p w14:paraId="471E90D8" w14:textId="77777777" w:rsidR="004E4FDB" w:rsidRPr="00880E85" w:rsidRDefault="004E4FDB" w:rsidP="00E70436">
            <w:pPr>
              <w:widowControl w:val="0"/>
              <w:jc w:val="center"/>
              <w:rPr>
                <w:i/>
              </w:rPr>
            </w:pPr>
          </w:p>
        </w:tc>
      </w:tr>
      <w:tr w:rsidR="004E4FDB" w:rsidRPr="00F630DF" w14:paraId="587F82CD" w14:textId="77777777" w:rsidTr="00AA2A4C">
        <w:trPr>
          <w:trHeight w:val="672"/>
        </w:trPr>
        <w:tc>
          <w:tcPr>
            <w:tcW w:w="2070" w:type="dxa"/>
            <w:tcBorders>
              <w:top w:val="nil"/>
              <w:left w:val="nil"/>
              <w:bottom w:val="nil"/>
              <w:right w:val="nil"/>
            </w:tcBorders>
            <w:vAlign w:val="center"/>
          </w:tcPr>
          <w:p w14:paraId="06986239" w14:textId="77777777" w:rsidR="004E4FDB" w:rsidRPr="00E91D6A" w:rsidRDefault="00350A7B" w:rsidP="00E70436">
            <w:pPr>
              <w:widowControl w:val="0"/>
              <w:ind w:left="252"/>
              <w:jc w:val="center"/>
            </w:pPr>
            <w:r>
              <w:t>Family</w:t>
            </w:r>
          </w:p>
        </w:tc>
        <w:tc>
          <w:tcPr>
            <w:tcW w:w="1071" w:type="dxa"/>
            <w:tcBorders>
              <w:top w:val="nil"/>
              <w:left w:val="nil"/>
              <w:bottom w:val="nil"/>
              <w:right w:val="nil"/>
            </w:tcBorders>
            <w:vAlign w:val="center"/>
          </w:tcPr>
          <w:p w14:paraId="1EFCD0FE" w14:textId="77777777" w:rsidR="004E4FDB" w:rsidRPr="00EA191B" w:rsidRDefault="004E4FDB" w:rsidP="00E70436">
            <w:pPr>
              <w:widowControl w:val="0"/>
              <w:jc w:val="center"/>
              <w:rPr>
                <w:vertAlign w:val="superscript"/>
              </w:rPr>
            </w:pPr>
            <w:r>
              <w:t>6.14</w:t>
            </w:r>
            <w:r w:rsidR="00EA191B">
              <w:rPr>
                <w:vertAlign w:val="superscript"/>
              </w:rPr>
              <w:t>a</w:t>
            </w:r>
          </w:p>
        </w:tc>
        <w:tc>
          <w:tcPr>
            <w:tcW w:w="1071" w:type="dxa"/>
            <w:tcBorders>
              <w:top w:val="nil"/>
              <w:left w:val="nil"/>
              <w:bottom w:val="nil"/>
            </w:tcBorders>
            <w:vAlign w:val="center"/>
          </w:tcPr>
          <w:p w14:paraId="63EA6129" w14:textId="77777777" w:rsidR="004E4FDB" w:rsidRPr="00E91D6A" w:rsidRDefault="004E4FDB" w:rsidP="00E70436">
            <w:pPr>
              <w:widowControl w:val="0"/>
              <w:jc w:val="center"/>
            </w:pPr>
            <w:r>
              <w:t>1.29</w:t>
            </w:r>
          </w:p>
        </w:tc>
        <w:tc>
          <w:tcPr>
            <w:tcW w:w="1071" w:type="dxa"/>
            <w:vAlign w:val="center"/>
          </w:tcPr>
          <w:p w14:paraId="319E4746" w14:textId="77777777" w:rsidR="004E4FDB" w:rsidRDefault="00EA191B" w:rsidP="00E70436">
            <w:pPr>
              <w:widowControl w:val="0"/>
              <w:jc w:val="center"/>
            </w:pPr>
            <w:r>
              <w:t>4.57</w:t>
            </w:r>
          </w:p>
        </w:tc>
        <w:tc>
          <w:tcPr>
            <w:tcW w:w="1071" w:type="dxa"/>
            <w:vAlign w:val="center"/>
          </w:tcPr>
          <w:p w14:paraId="2021190E" w14:textId="77777777" w:rsidR="004E4FDB" w:rsidRDefault="00EA191B" w:rsidP="00E70436">
            <w:pPr>
              <w:widowControl w:val="0"/>
              <w:jc w:val="center"/>
            </w:pPr>
            <w:r>
              <w:t>1.16</w:t>
            </w:r>
          </w:p>
        </w:tc>
        <w:tc>
          <w:tcPr>
            <w:tcW w:w="1071" w:type="dxa"/>
            <w:vAlign w:val="center"/>
          </w:tcPr>
          <w:p w14:paraId="30CAF2A6" w14:textId="77777777" w:rsidR="004E4FDB" w:rsidRDefault="00EA191B" w:rsidP="00E70436">
            <w:pPr>
              <w:widowControl w:val="0"/>
              <w:jc w:val="center"/>
            </w:pPr>
            <w:r>
              <w:t>4.50</w:t>
            </w:r>
          </w:p>
        </w:tc>
        <w:tc>
          <w:tcPr>
            <w:tcW w:w="1071" w:type="dxa"/>
            <w:vAlign w:val="center"/>
          </w:tcPr>
          <w:p w14:paraId="74CB857F" w14:textId="77777777" w:rsidR="004E4FDB" w:rsidRDefault="00EA191B" w:rsidP="00E70436">
            <w:pPr>
              <w:widowControl w:val="0"/>
              <w:jc w:val="center"/>
            </w:pPr>
            <w:r>
              <w:t>1.23</w:t>
            </w:r>
          </w:p>
        </w:tc>
        <w:tc>
          <w:tcPr>
            <w:tcW w:w="1071" w:type="dxa"/>
            <w:tcBorders>
              <w:bottom w:val="nil"/>
            </w:tcBorders>
            <w:vAlign w:val="center"/>
          </w:tcPr>
          <w:p w14:paraId="3ECD4602" w14:textId="77777777" w:rsidR="004E4FDB" w:rsidRDefault="00EA191B" w:rsidP="00E70436">
            <w:pPr>
              <w:widowControl w:val="0"/>
              <w:jc w:val="center"/>
            </w:pPr>
            <w:r>
              <w:t>4.79</w:t>
            </w:r>
          </w:p>
        </w:tc>
        <w:tc>
          <w:tcPr>
            <w:tcW w:w="1071" w:type="dxa"/>
            <w:tcBorders>
              <w:bottom w:val="nil"/>
            </w:tcBorders>
            <w:vAlign w:val="center"/>
          </w:tcPr>
          <w:p w14:paraId="640391B7" w14:textId="77777777" w:rsidR="004E4FDB" w:rsidRDefault="00EA191B" w:rsidP="00E70436">
            <w:pPr>
              <w:widowControl w:val="0"/>
              <w:jc w:val="center"/>
            </w:pPr>
            <w:r>
              <w:t>1.05</w:t>
            </w:r>
          </w:p>
        </w:tc>
        <w:tc>
          <w:tcPr>
            <w:tcW w:w="1071" w:type="dxa"/>
            <w:vAlign w:val="center"/>
          </w:tcPr>
          <w:p w14:paraId="77FA1542" w14:textId="77777777" w:rsidR="004E4FDB" w:rsidRDefault="00EA191B" w:rsidP="00E70436">
            <w:pPr>
              <w:widowControl w:val="0"/>
              <w:jc w:val="center"/>
            </w:pPr>
            <w:r>
              <w:t>3.93</w:t>
            </w:r>
          </w:p>
        </w:tc>
        <w:tc>
          <w:tcPr>
            <w:tcW w:w="1071" w:type="dxa"/>
            <w:vAlign w:val="center"/>
          </w:tcPr>
          <w:p w14:paraId="500E87E0" w14:textId="77777777" w:rsidR="004E4FDB" w:rsidRDefault="00EA191B" w:rsidP="00E70436">
            <w:pPr>
              <w:widowControl w:val="0"/>
              <w:jc w:val="center"/>
            </w:pPr>
            <w:r>
              <w:t>1.27</w:t>
            </w:r>
          </w:p>
        </w:tc>
      </w:tr>
      <w:tr w:rsidR="004E4FDB" w:rsidRPr="00F630DF" w14:paraId="49D14717" w14:textId="77777777" w:rsidTr="00AA2A4C">
        <w:trPr>
          <w:trHeight w:val="672"/>
        </w:trPr>
        <w:tc>
          <w:tcPr>
            <w:tcW w:w="2070" w:type="dxa"/>
            <w:tcBorders>
              <w:top w:val="nil"/>
            </w:tcBorders>
            <w:vAlign w:val="center"/>
          </w:tcPr>
          <w:p w14:paraId="2EC9D7ED" w14:textId="77777777" w:rsidR="004E4FDB" w:rsidRDefault="00350A7B" w:rsidP="00E70436">
            <w:pPr>
              <w:widowControl w:val="0"/>
              <w:ind w:left="252"/>
              <w:jc w:val="center"/>
            </w:pPr>
            <w:r>
              <w:t>Non-family</w:t>
            </w:r>
          </w:p>
        </w:tc>
        <w:tc>
          <w:tcPr>
            <w:tcW w:w="1071" w:type="dxa"/>
            <w:tcBorders>
              <w:top w:val="nil"/>
            </w:tcBorders>
            <w:vAlign w:val="center"/>
          </w:tcPr>
          <w:p w14:paraId="106D76B1" w14:textId="77777777" w:rsidR="004E4FDB" w:rsidRPr="00EA191B" w:rsidRDefault="004E4FDB" w:rsidP="00E70436">
            <w:pPr>
              <w:widowControl w:val="0"/>
              <w:jc w:val="center"/>
              <w:rPr>
                <w:vertAlign w:val="superscript"/>
              </w:rPr>
            </w:pPr>
            <w:r>
              <w:t>2.71</w:t>
            </w:r>
            <w:r w:rsidR="00EA191B">
              <w:rPr>
                <w:vertAlign w:val="superscript"/>
              </w:rPr>
              <w:t>b</w:t>
            </w:r>
          </w:p>
        </w:tc>
        <w:tc>
          <w:tcPr>
            <w:tcW w:w="1071" w:type="dxa"/>
            <w:tcBorders>
              <w:top w:val="nil"/>
            </w:tcBorders>
            <w:vAlign w:val="center"/>
          </w:tcPr>
          <w:p w14:paraId="526F24BD" w14:textId="77777777" w:rsidR="004E4FDB" w:rsidRDefault="004E4FDB" w:rsidP="00E70436">
            <w:pPr>
              <w:widowControl w:val="0"/>
              <w:jc w:val="center"/>
            </w:pPr>
            <w:r>
              <w:t>2.02</w:t>
            </w:r>
          </w:p>
        </w:tc>
        <w:tc>
          <w:tcPr>
            <w:tcW w:w="1071" w:type="dxa"/>
            <w:tcBorders>
              <w:bottom w:val="single" w:sz="4" w:space="0" w:color="auto"/>
            </w:tcBorders>
            <w:vAlign w:val="center"/>
          </w:tcPr>
          <w:p w14:paraId="0CE14898" w14:textId="77777777" w:rsidR="004E4FDB" w:rsidRDefault="00EA191B" w:rsidP="00E70436">
            <w:pPr>
              <w:widowControl w:val="0"/>
              <w:jc w:val="center"/>
            </w:pPr>
            <w:r>
              <w:t>4.50</w:t>
            </w:r>
          </w:p>
        </w:tc>
        <w:tc>
          <w:tcPr>
            <w:tcW w:w="1071" w:type="dxa"/>
            <w:tcBorders>
              <w:bottom w:val="single" w:sz="4" w:space="0" w:color="auto"/>
            </w:tcBorders>
            <w:vAlign w:val="center"/>
          </w:tcPr>
          <w:p w14:paraId="39AAB235" w14:textId="77777777" w:rsidR="004E4FDB" w:rsidRDefault="00EA191B" w:rsidP="00E70436">
            <w:pPr>
              <w:widowControl w:val="0"/>
              <w:jc w:val="center"/>
            </w:pPr>
            <w:r>
              <w:t>1.91</w:t>
            </w:r>
          </w:p>
        </w:tc>
        <w:tc>
          <w:tcPr>
            <w:tcW w:w="1071" w:type="dxa"/>
            <w:tcBorders>
              <w:bottom w:val="single" w:sz="4" w:space="0" w:color="auto"/>
            </w:tcBorders>
            <w:vAlign w:val="center"/>
          </w:tcPr>
          <w:p w14:paraId="64835D90" w14:textId="77777777" w:rsidR="004E4FDB" w:rsidRDefault="00EA191B" w:rsidP="00E70436">
            <w:pPr>
              <w:widowControl w:val="0"/>
              <w:jc w:val="center"/>
            </w:pPr>
            <w:r>
              <w:t>4.93</w:t>
            </w:r>
          </w:p>
        </w:tc>
        <w:tc>
          <w:tcPr>
            <w:tcW w:w="1071" w:type="dxa"/>
            <w:tcBorders>
              <w:bottom w:val="single" w:sz="4" w:space="0" w:color="auto"/>
            </w:tcBorders>
            <w:vAlign w:val="center"/>
          </w:tcPr>
          <w:p w14:paraId="1EA95400" w14:textId="77777777" w:rsidR="004E4FDB" w:rsidRDefault="00EA191B" w:rsidP="00E70436">
            <w:pPr>
              <w:widowControl w:val="0"/>
              <w:jc w:val="center"/>
            </w:pPr>
            <w:r>
              <w:t>1.69</w:t>
            </w:r>
          </w:p>
        </w:tc>
        <w:tc>
          <w:tcPr>
            <w:tcW w:w="1071" w:type="dxa"/>
            <w:tcBorders>
              <w:top w:val="nil"/>
              <w:bottom w:val="single" w:sz="4" w:space="0" w:color="auto"/>
            </w:tcBorders>
            <w:vAlign w:val="center"/>
          </w:tcPr>
          <w:p w14:paraId="6108530C" w14:textId="77777777" w:rsidR="004E4FDB" w:rsidRDefault="00EA191B" w:rsidP="00E70436">
            <w:pPr>
              <w:widowControl w:val="0"/>
              <w:jc w:val="center"/>
            </w:pPr>
            <w:r>
              <w:t>4.64</w:t>
            </w:r>
          </w:p>
        </w:tc>
        <w:tc>
          <w:tcPr>
            <w:tcW w:w="1071" w:type="dxa"/>
            <w:tcBorders>
              <w:top w:val="nil"/>
              <w:bottom w:val="single" w:sz="4" w:space="0" w:color="auto"/>
            </w:tcBorders>
            <w:vAlign w:val="center"/>
          </w:tcPr>
          <w:p w14:paraId="1766E567" w14:textId="77777777" w:rsidR="004E4FDB" w:rsidRDefault="00EA191B" w:rsidP="00E70436">
            <w:pPr>
              <w:widowControl w:val="0"/>
              <w:jc w:val="center"/>
            </w:pPr>
            <w:r>
              <w:t>1.45</w:t>
            </w:r>
          </w:p>
        </w:tc>
        <w:tc>
          <w:tcPr>
            <w:tcW w:w="1071" w:type="dxa"/>
            <w:tcBorders>
              <w:bottom w:val="single" w:sz="4" w:space="0" w:color="auto"/>
            </w:tcBorders>
            <w:vAlign w:val="center"/>
          </w:tcPr>
          <w:p w14:paraId="617B656D" w14:textId="77777777" w:rsidR="004E4FDB" w:rsidRDefault="00EA191B" w:rsidP="00E70436">
            <w:pPr>
              <w:widowControl w:val="0"/>
              <w:jc w:val="center"/>
            </w:pPr>
            <w:r>
              <w:t>5.00</w:t>
            </w:r>
          </w:p>
        </w:tc>
        <w:tc>
          <w:tcPr>
            <w:tcW w:w="1071" w:type="dxa"/>
            <w:tcBorders>
              <w:bottom w:val="single" w:sz="4" w:space="0" w:color="auto"/>
            </w:tcBorders>
            <w:vAlign w:val="center"/>
          </w:tcPr>
          <w:p w14:paraId="55EEEB9A" w14:textId="77777777" w:rsidR="004E4FDB" w:rsidRDefault="00EA191B" w:rsidP="00E70436">
            <w:pPr>
              <w:widowControl w:val="0"/>
              <w:jc w:val="center"/>
            </w:pPr>
            <w:r>
              <w:t>2.08</w:t>
            </w:r>
          </w:p>
        </w:tc>
      </w:tr>
      <w:tr w:rsidR="004E4FDB" w:rsidRPr="00880E85" w14:paraId="37C496BE" w14:textId="77777777" w:rsidTr="00AA2A4C">
        <w:trPr>
          <w:trHeight w:val="672"/>
        </w:trPr>
        <w:tc>
          <w:tcPr>
            <w:tcW w:w="2070" w:type="dxa"/>
            <w:tcBorders>
              <w:top w:val="single" w:sz="4" w:space="0" w:color="000000"/>
              <w:bottom w:val="nil"/>
            </w:tcBorders>
            <w:vAlign w:val="center"/>
          </w:tcPr>
          <w:p w14:paraId="7CA11684" w14:textId="77777777" w:rsidR="004E4FDB" w:rsidRPr="00E91D6A" w:rsidRDefault="004E4FDB" w:rsidP="00E70436">
            <w:pPr>
              <w:widowControl w:val="0"/>
              <w:jc w:val="center"/>
            </w:pPr>
            <w:r>
              <w:t>Role Model: Julie</w:t>
            </w:r>
          </w:p>
        </w:tc>
        <w:tc>
          <w:tcPr>
            <w:tcW w:w="1071" w:type="dxa"/>
            <w:tcBorders>
              <w:top w:val="single" w:sz="4" w:space="0" w:color="000000"/>
              <w:bottom w:val="nil"/>
            </w:tcBorders>
            <w:vAlign w:val="center"/>
          </w:tcPr>
          <w:p w14:paraId="4AE9CC00" w14:textId="77777777" w:rsidR="004E4FDB" w:rsidRPr="00880E85" w:rsidRDefault="004E4FDB" w:rsidP="00E70436">
            <w:pPr>
              <w:widowControl w:val="0"/>
              <w:jc w:val="center"/>
              <w:rPr>
                <w:i/>
              </w:rPr>
            </w:pPr>
          </w:p>
        </w:tc>
        <w:tc>
          <w:tcPr>
            <w:tcW w:w="1071" w:type="dxa"/>
            <w:tcBorders>
              <w:top w:val="single" w:sz="4" w:space="0" w:color="000000"/>
              <w:bottom w:val="nil"/>
            </w:tcBorders>
            <w:vAlign w:val="center"/>
          </w:tcPr>
          <w:p w14:paraId="0643F432" w14:textId="77777777" w:rsidR="004E4FDB" w:rsidRPr="00880E85" w:rsidRDefault="004E4FDB" w:rsidP="00E70436">
            <w:pPr>
              <w:widowControl w:val="0"/>
              <w:jc w:val="center"/>
              <w:rPr>
                <w:i/>
              </w:rPr>
            </w:pPr>
          </w:p>
        </w:tc>
        <w:tc>
          <w:tcPr>
            <w:tcW w:w="1071" w:type="dxa"/>
            <w:tcBorders>
              <w:top w:val="single" w:sz="4" w:space="0" w:color="auto"/>
            </w:tcBorders>
            <w:vAlign w:val="center"/>
          </w:tcPr>
          <w:p w14:paraId="77FBCD9F" w14:textId="77777777" w:rsidR="004E4FDB" w:rsidRPr="00880E85" w:rsidRDefault="004E4FDB" w:rsidP="00E70436">
            <w:pPr>
              <w:widowControl w:val="0"/>
              <w:jc w:val="center"/>
              <w:rPr>
                <w:i/>
              </w:rPr>
            </w:pPr>
          </w:p>
        </w:tc>
        <w:tc>
          <w:tcPr>
            <w:tcW w:w="1071" w:type="dxa"/>
            <w:tcBorders>
              <w:top w:val="single" w:sz="4" w:space="0" w:color="auto"/>
            </w:tcBorders>
            <w:vAlign w:val="center"/>
          </w:tcPr>
          <w:p w14:paraId="120C3417" w14:textId="77777777" w:rsidR="004E4FDB" w:rsidRPr="00880E85" w:rsidRDefault="004E4FDB" w:rsidP="00E70436">
            <w:pPr>
              <w:widowControl w:val="0"/>
              <w:jc w:val="center"/>
              <w:rPr>
                <w:i/>
              </w:rPr>
            </w:pPr>
          </w:p>
        </w:tc>
        <w:tc>
          <w:tcPr>
            <w:tcW w:w="1071" w:type="dxa"/>
            <w:tcBorders>
              <w:top w:val="single" w:sz="4" w:space="0" w:color="auto"/>
            </w:tcBorders>
            <w:vAlign w:val="center"/>
          </w:tcPr>
          <w:p w14:paraId="79371C69" w14:textId="77777777" w:rsidR="004E4FDB" w:rsidRPr="00880E85" w:rsidRDefault="004E4FDB" w:rsidP="00E70436">
            <w:pPr>
              <w:widowControl w:val="0"/>
              <w:jc w:val="center"/>
              <w:rPr>
                <w:i/>
              </w:rPr>
            </w:pPr>
          </w:p>
        </w:tc>
        <w:tc>
          <w:tcPr>
            <w:tcW w:w="1071" w:type="dxa"/>
            <w:tcBorders>
              <w:top w:val="single" w:sz="4" w:space="0" w:color="auto"/>
            </w:tcBorders>
            <w:vAlign w:val="center"/>
          </w:tcPr>
          <w:p w14:paraId="5249E1FA" w14:textId="77777777" w:rsidR="004E4FDB" w:rsidRPr="00880E85" w:rsidRDefault="004E4FDB" w:rsidP="00E70436">
            <w:pPr>
              <w:widowControl w:val="0"/>
              <w:jc w:val="center"/>
              <w:rPr>
                <w:i/>
              </w:rPr>
            </w:pPr>
          </w:p>
        </w:tc>
        <w:tc>
          <w:tcPr>
            <w:tcW w:w="1071" w:type="dxa"/>
            <w:tcBorders>
              <w:top w:val="single" w:sz="4" w:space="0" w:color="auto"/>
            </w:tcBorders>
            <w:vAlign w:val="center"/>
          </w:tcPr>
          <w:p w14:paraId="776F1B25" w14:textId="77777777" w:rsidR="004E4FDB" w:rsidRPr="00880E85" w:rsidRDefault="004E4FDB" w:rsidP="00E70436">
            <w:pPr>
              <w:widowControl w:val="0"/>
              <w:jc w:val="center"/>
              <w:rPr>
                <w:i/>
              </w:rPr>
            </w:pPr>
          </w:p>
        </w:tc>
        <w:tc>
          <w:tcPr>
            <w:tcW w:w="1071" w:type="dxa"/>
            <w:tcBorders>
              <w:top w:val="single" w:sz="4" w:space="0" w:color="auto"/>
            </w:tcBorders>
            <w:vAlign w:val="center"/>
          </w:tcPr>
          <w:p w14:paraId="7C7146C9" w14:textId="77777777" w:rsidR="004E4FDB" w:rsidRPr="00880E85" w:rsidRDefault="004E4FDB" w:rsidP="00E70436">
            <w:pPr>
              <w:widowControl w:val="0"/>
              <w:jc w:val="center"/>
              <w:rPr>
                <w:i/>
              </w:rPr>
            </w:pPr>
          </w:p>
        </w:tc>
        <w:tc>
          <w:tcPr>
            <w:tcW w:w="1071" w:type="dxa"/>
            <w:tcBorders>
              <w:top w:val="single" w:sz="4" w:space="0" w:color="auto"/>
            </w:tcBorders>
            <w:vAlign w:val="center"/>
          </w:tcPr>
          <w:p w14:paraId="20B58009" w14:textId="77777777" w:rsidR="004E4FDB" w:rsidRPr="00880E85" w:rsidRDefault="004E4FDB" w:rsidP="00E70436">
            <w:pPr>
              <w:widowControl w:val="0"/>
              <w:jc w:val="center"/>
              <w:rPr>
                <w:i/>
              </w:rPr>
            </w:pPr>
          </w:p>
        </w:tc>
        <w:tc>
          <w:tcPr>
            <w:tcW w:w="1071" w:type="dxa"/>
            <w:tcBorders>
              <w:top w:val="single" w:sz="4" w:space="0" w:color="auto"/>
            </w:tcBorders>
            <w:vAlign w:val="center"/>
          </w:tcPr>
          <w:p w14:paraId="6DFDAC36" w14:textId="77777777" w:rsidR="004E4FDB" w:rsidRPr="00880E85" w:rsidRDefault="004E4FDB" w:rsidP="00E70436">
            <w:pPr>
              <w:widowControl w:val="0"/>
              <w:jc w:val="center"/>
              <w:rPr>
                <w:i/>
              </w:rPr>
            </w:pPr>
          </w:p>
        </w:tc>
      </w:tr>
      <w:tr w:rsidR="00EA191B" w:rsidRPr="00E91D6A" w14:paraId="69334824" w14:textId="77777777" w:rsidTr="00AA2A4C">
        <w:trPr>
          <w:trHeight w:val="672"/>
        </w:trPr>
        <w:tc>
          <w:tcPr>
            <w:tcW w:w="2070" w:type="dxa"/>
            <w:tcBorders>
              <w:top w:val="nil"/>
              <w:left w:val="nil"/>
              <w:bottom w:val="nil"/>
              <w:right w:val="nil"/>
            </w:tcBorders>
            <w:vAlign w:val="center"/>
          </w:tcPr>
          <w:p w14:paraId="0BD7CC12" w14:textId="77777777" w:rsidR="00EA191B" w:rsidRPr="00E91D6A" w:rsidRDefault="00350A7B" w:rsidP="00E70436">
            <w:pPr>
              <w:widowControl w:val="0"/>
              <w:ind w:left="252"/>
              <w:jc w:val="center"/>
            </w:pPr>
            <w:r w:rsidRPr="00350A7B">
              <w:t>Family</w:t>
            </w:r>
          </w:p>
        </w:tc>
        <w:tc>
          <w:tcPr>
            <w:tcW w:w="1071" w:type="dxa"/>
            <w:tcBorders>
              <w:top w:val="nil"/>
              <w:left w:val="nil"/>
              <w:bottom w:val="nil"/>
              <w:right w:val="nil"/>
            </w:tcBorders>
            <w:vAlign w:val="center"/>
          </w:tcPr>
          <w:p w14:paraId="70BC883B" w14:textId="77777777" w:rsidR="00EA191B" w:rsidRPr="00EA191B" w:rsidRDefault="00EA191B" w:rsidP="00E70436">
            <w:pPr>
              <w:widowControl w:val="0"/>
              <w:jc w:val="center"/>
              <w:rPr>
                <w:vertAlign w:val="superscript"/>
              </w:rPr>
            </w:pPr>
            <w:r>
              <w:t>5.57</w:t>
            </w:r>
            <w:r>
              <w:rPr>
                <w:vertAlign w:val="superscript"/>
              </w:rPr>
              <w:t>a</w:t>
            </w:r>
          </w:p>
        </w:tc>
        <w:tc>
          <w:tcPr>
            <w:tcW w:w="1071" w:type="dxa"/>
            <w:tcBorders>
              <w:top w:val="nil"/>
              <w:left w:val="nil"/>
              <w:bottom w:val="nil"/>
            </w:tcBorders>
            <w:vAlign w:val="center"/>
          </w:tcPr>
          <w:p w14:paraId="0BC33A65" w14:textId="77777777" w:rsidR="00EA191B" w:rsidRPr="00E91D6A" w:rsidRDefault="00EA191B" w:rsidP="00E70436">
            <w:pPr>
              <w:widowControl w:val="0"/>
              <w:jc w:val="center"/>
            </w:pPr>
            <w:r>
              <w:t>1.78</w:t>
            </w:r>
          </w:p>
        </w:tc>
        <w:tc>
          <w:tcPr>
            <w:tcW w:w="1071" w:type="dxa"/>
            <w:vAlign w:val="center"/>
          </w:tcPr>
          <w:p w14:paraId="5BA3EB03" w14:textId="77777777" w:rsidR="00EA191B" w:rsidRDefault="00EA191B" w:rsidP="00E70436">
            <w:pPr>
              <w:widowControl w:val="0"/>
              <w:jc w:val="center"/>
            </w:pPr>
            <w:r>
              <w:t>5.25</w:t>
            </w:r>
          </w:p>
        </w:tc>
        <w:tc>
          <w:tcPr>
            <w:tcW w:w="1071" w:type="dxa"/>
            <w:vAlign w:val="center"/>
          </w:tcPr>
          <w:p w14:paraId="3A7BC661" w14:textId="77777777" w:rsidR="00EA191B" w:rsidRDefault="00EA191B" w:rsidP="00E70436">
            <w:pPr>
              <w:widowControl w:val="0"/>
              <w:jc w:val="center"/>
            </w:pPr>
            <w:r>
              <w:t>1.44</w:t>
            </w:r>
          </w:p>
        </w:tc>
        <w:tc>
          <w:tcPr>
            <w:tcW w:w="1071" w:type="dxa"/>
            <w:vAlign w:val="center"/>
          </w:tcPr>
          <w:p w14:paraId="39764D7B" w14:textId="77777777" w:rsidR="00EA191B" w:rsidRDefault="00EA191B" w:rsidP="00E70436">
            <w:pPr>
              <w:widowControl w:val="0"/>
              <w:jc w:val="center"/>
            </w:pPr>
            <w:r>
              <w:t>5.00</w:t>
            </w:r>
          </w:p>
        </w:tc>
        <w:tc>
          <w:tcPr>
            <w:tcW w:w="1071" w:type="dxa"/>
            <w:vAlign w:val="center"/>
          </w:tcPr>
          <w:p w14:paraId="0A874426" w14:textId="77777777" w:rsidR="00EA191B" w:rsidRDefault="00EA191B" w:rsidP="00E70436">
            <w:pPr>
              <w:widowControl w:val="0"/>
              <w:jc w:val="center"/>
            </w:pPr>
            <w:r>
              <w:t>1.32</w:t>
            </w:r>
          </w:p>
        </w:tc>
        <w:tc>
          <w:tcPr>
            <w:tcW w:w="1071" w:type="dxa"/>
            <w:vAlign w:val="center"/>
          </w:tcPr>
          <w:p w14:paraId="024E1ED4" w14:textId="77777777" w:rsidR="00EA191B" w:rsidRDefault="00EA191B" w:rsidP="00E70436">
            <w:pPr>
              <w:widowControl w:val="0"/>
              <w:jc w:val="center"/>
            </w:pPr>
            <w:r>
              <w:t>4.81</w:t>
            </w:r>
          </w:p>
        </w:tc>
        <w:tc>
          <w:tcPr>
            <w:tcW w:w="1071" w:type="dxa"/>
            <w:vAlign w:val="center"/>
          </w:tcPr>
          <w:p w14:paraId="0A016743" w14:textId="77777777" w:rsidR="00EA191B" w:rsidRDefault="00EA191B" w:rsidP="00E70436">
            <w:pPr>
              <w:widowControl w:val="0"/>
              <w:jc w:val="center"/>
            </w:pPr>
            <w:r>
              <w:t>1.05</w:t>
            </w:r>
          </w:p>
        </w:tc>
        <w:tc>
          <w:tcPr>
            <w:tcW w:w="1071" w:type="dxa"/>
            <w:vAlign w:val="center"/>
          </w:tcPr>
          <w:p w14:paraId="72E32A50" w14:textId="77777777" w:rsidR="00EA191B" w:rsidRDefault="00EA191B" w:rsidP="00E70436">
            <w:pPr>
              <w:widowControl w:val="0"/>
              <w:jc w:val="center"/>
            </w:pPr>
            <w:r>
              <w:t>4.56</w:t>
            </w:r>
          </w:p>
        </w:tc>
        <w:tc>
          <w:tcPr>
            <w:tcW w:w="1071" w:type="dxa"/>
            <w:vAlign w:val="center"/>
          </w:tcPr>
          <w:p w14:paraId="0FDB4002" w14:textId="77777777" w:rsidR="00EA191B" w:rsidRDefault="00EA191B" w:rsidP="00E70436">
            <w:pPr>
              <w:widowControl w:val="0"/>
              <w:jc w:val="center"/>
            </w:pPr>
            <w:r>
              <w:t>1.21</w:t>
            </w:r>
          </w:p>
        </w:tc>
      </w:tr>
      <w:tr w:rsidR="00EA191B" w:rsidRPr="00E91D6A" w14:paraId="719ECEF8" w14:textId="77777777" w:rsidTr="00AA2A4C">
        <w:trPr>
          <w:trHeight w:val="672"/>
        </w:trPr>
        <w:tc>
          <w:tcPr>
            <w:tcW w:w="2070" w:type="dxa"/>
            <w:tcBorders>
              <w:top w:val="nil"/>
            </w:tcBorders>
            <w:vAlign w:val="center"/>
          </w:tcPr>
          <w:p w14:paraId="6F638EDA" w14:textId="77777777" w:rsidR="00EA191B" w:rsidRDefault="00350A7B" w:rsidP="00E70436">
            <w:pPr>
              <w:widowControl w:val="0"/>
              <w:ind w:left="252"/>
              <w:jc w:val="center"/>
            </w:pPr>
            <w:r w:rsidRPr="00350A7B">
              <w:t>Non-family</w:t>
            </w:r>
          </w:p>
        </w:tc>
        <w:tc>
          <w:tcPr>
            <w:tcW w:w="1071" w:type="dxa"/>
            <w:tcBorders>
              <w:top w:val="nil"/>
            </w:tcBorders>
            <w:vAlign w:val="center"/>
          </w:tcPr>
          <w:p w14:paraId="596C321C" w14:textId="77777777" w:rsidR="00EA191B" w:rsidRPr="00EA191B" w:rsidRDefault="00EA191B" w:rsidP="00E70436">
            <w:pPr>
              <w:widowControl w:val="0"/>
              <w:jc w:val="center"/>
              <w:rPr>
                <w:vertAlign w:val="superscript"/>
              </w:rPr>
            </w:pPr>
            <w:r>
              <w:t>1.55</w:t>
            </w:r>
            <w:r>
              <w:rPr>
                <w:vertAlign w:val="superscript"/>
              </w:rPr>
              <w:t>b</w:t>
            </w:r>
          </w:p>
        </w:tc>
        <w:tc>
          <w:tcPr>
            <w:tcW w:w="1071" w:type="dxa"/>
            <w:tcBorders>
              <w:top w:val="nil"/>
            </w:tcBorders>
            <w:vAlign w:val="center"/>
          </w:tcPr>
          <w:p w14:paraId="26CB5230" w14:textId="77777777" w:rsidR="00EA191B" w:rsidRDefault="00EA191B" w:rsidP="00E70436">
            <w:pPr>
              <w:widowControl w:val="0"/>
              <w:jc w:val="center"/>
            </w:pPr>
            <w:r>
              <w:t>1.43</w:t>
            </w:r>
          </w:p>
        </w:tc>
        <w:tc>
          <w:tcPr>
            <w:tcW w:w="1071" w:type="dxa"/>
            <w:tcBorders>
              <w:bottom w:val="single" w:sz="4" w:space="0" w:color="auto"/>
            </w:tcBorders>
            <w:vAlign w:val="center"/>
          </w:tcPr>
          <w:p w14:paraId="611CB222" w14:textId="77777777" w:rsidR="00EA191B" w:rsidRDefault="00EA191B" w:rsidP="00E70436">
            <w:pPr>
              <w:widowControl w:val="0"/>
              <w:jc w:val="center"/>
            </w:pPr>
            <w:r>
              <w:t>5.29</w:t>
            </w:r>
          </w:p>
        </w:tc>
        <w:tc>
          <w:tcPr>
            <w:tcW w:w="1071" w:type="dxa"/>
            <w:tcBorders>
              <w:bottom w:val="single" w:sz="4" w:space="0" w:color="auto"/>
            </w:tcBorders>
            <w:vAlign w:val="center"/>
          </w:tcPr>
          <w:p w14:paraId="24EAB31F" w14:textId="77777777" w:rsidR="00EA191B" w:rsidRDefault="00EA191B" w:rsidP="00E70436">
            <w:pPr>
              <w:widowControl w:val="0"/>
              <w:jc w:val="center"/>
            </w:pPr>
            <w:r>
              <w:t>1.49</w:t>
            </w:r>
          </w:p>
        </w:tc>
        <w:tc>
          <w:tcPr>
            <w:tcW w:w="1071" w:type="dxa"/>
            <w:tcBorders>
              <w:bottom w:val="single" w:sz="4" w:space="0" w:color="auto"/>
            </w:tcBorders>
            <w:vAlign w:val="center"/>
          </w:tcPr>
          <w:p w14:paraId="5AE66DE6" w14:textId="77777777" w:rsidR="00EA191B" w:rsidRDefault="00EA191B" w:rsidP="00E70436">
            <w:pPr>
              <w:widowControl w:val="0"/>
              <w:jc w:val="center"/>
            </w:pPr>
            <w:r>
              <w:t>5.14</w:t>
            </w:r>
          </w:p>
        </w:tc>
        <w:tc>
          <w:tcPr>
            <w:tcW w:w="1071" w:type="dxa"/>
            <w:tcBorders>
              <w:bottom w:val="single" w:sz="4" w:space="0" w:color="auto"/>
            </w:tcBorders>
            <w:vAlign w:val="center"/>
          </w:tcPr>
          <w:p w14:paraId="5512EEE3" w14:textId="77777777" w:rsidR="00EA191B" w:rsidRDefault="00EA191B" w:rsidP="00E70436">
            <w:pPr>
              <w:widowControl w:val="0"/>
              <w:jc w:val="center"/>
            </w:pPr>
            <w:r>
              <w:t>1.35</w:t>
            </w:r>
          </w:p>
        </w:tc>
        <w:tc>
          <w:tcPr>
            <w:tcW w:w="1071" w:type="dxa"/>
            <w:tcBorders>
              <w:bottom w:val="single" w:sz="4" w:space="0" w:color="auto"/>
            </w:tcBorders>
            <w:vAlign w:val="center"/>
          </w:tcPr>
          <w:p w14:paraId="52636E9A" w14:textId="77777777" w:rsidR="00EA191B" w:rsidRDefault="00EA191B" w:rsidP="00E70436">
            <w:pPr>
              <w:widowControl w:val="0"/>
              <w:jc w:val="center"/>
            </w:pPr>
            <w:r>
              <w:t>4.50</w:t>
            </w:r>
          </w:p>
        </w:tc>
        <w:tc>
          <w:tcPr>
            <w:tcW w:w="1071" w:type="dxa"/>
            <w:tcBorders>
              <w:bottom w:val="single" w:sz="4" w:space="0" w:color="auto"/>
            </w:tcBorders>
            <w:vAlign w:val="center"/>
          </w:tcPr>
          <w:p w14:paraId="4B96F89D" w14:textId="77777777" w:rsidR="00EA191B" w:rsidRDefault="00EA191B" w:rsidP="00E70436">
            <w:pPr>
              <w:widowControl w:val="0"/>
              <w:jc w:val="center"/>
            </w:pPr>
            <w:r>
              <w:t>1.79</w:t>
            </w:r>
          </w:p>
        </w:tc>
        <w:tc>
          <w:tcPr>
            <w:tcW w:w="1071" w:type="dxa"/>
            <w:tcBorders>
              <w:bottom w:val="single" w:sz="4" w:space="0" w:color="auto"/>
            </w:tcBorders>
            <w:vAlign w:val="center"/>
          </w:tcPr>
          <w:p w14:paraId="79CC83BC" w14:textId="77777777" w:rsidR="00EA191B" w:rsidRDefault="00EA191B" w:rsidP="00E70436">
            <w:pPr>
              <w:widowControl w:val="0"/>
              <w:jc w:val="center"/>
            </w:pPr>
            <w:r>
              <w:t>4.50</w:t>
            </w:r>
          </w:p>
        </w:tc>
        <w:tc>
          <w:tcPr>
            <w:tcW w:w="1071" w:type="dxa"/>
            <w:tcBorders>
              <w:bottom w:val="single" w:sz="4" w:space="0" w:color="auto"/>
            </w:tcBorders>
            <w:vAlign w:val="center"/>
          </w:tcPr>
          <w:p w14:paraId="35E6C84C" w14:textId="77777777" w:rsidR="00EA191B" w:rsidRDefault="00EA191B" w:rsidP="00E70436">
            <w:pPr>
              <w:widowControl w:val="0"/>
              <w:jc w:val="center"/>
            </w:pPr>
            <w:r>
              <w:t>1.16</w:t>
            </w:r>
          </w:p>
        </w:tc>
      </w:tr>
      <w:tr w:rsidR="004E4FDB" w:rsidRPr="00880E85" w14:paraId="587532DA" w14:textId="77777777" w:rsidTr="00AA2A4C">
        <w:trPr>
          <w:trHeight w:val="672"/>
        </w:trPr>
        <w:tc>
          <w:tcPr>
            <w:tcW w:w="2070" w:type="dxa"/>
            <w:tcBorders>
              <w:top w:val="single" w:sz="4" w:space="0" w:color="000000"/>
              <w:bottom w:val="nil"/>
            </w:tcBorders>
            <w:vAlign w:val="center"/>
          </w:tcPr>
          <w:p w14:paraId="7476E53E" w14:textId="77777777" w:rsidR="004E4FDB" w:rsidRPr="00E91D6A" w:rsidRDefault="004E4FDB" w:rsidP="00E70436">
            <w:pPr>
              <w:widowControl w:val="0"/>
              <w:jc w:val="center"/>
            </w:pPr>
            <w:r>
              <w:t>Role Model: Stella</w:t>
            </w:r>
          </w:p>
        </w:tc>
        <w:tc>
          <w:tcPr>
            <w:tcW w:w="1071" w:type="dxa"/>
            <w:tcBorders>
              <w:top w:val="single" w:sz="4" w:space="0" w:color="000000"/>
              <w:bottom w:val="nil"/>
            </w:tcBorders>
            <w:vAlign w:val="center"/>
          </w:tcPr>
          <w:p w14:paraId="1045841F" w14:textId="77777777" w:rsidR="004E4FDB" w:rsidRPr="00880E85" w:rsidRDefault="004E4FDB" w:rsidP="00E70436">
            <w:pPr>
              <w:widowControl w:val="0"/>
              <w:jc w:val="center"/>
              <w:rPr>
                <w:i/>
              </w:rPr>
            </w:pPr>
          </w:p>
        </w:tc>
        <w:tc>
          <w:tcPr>
            <w:tcW w:w="1071" w:type="dxa"/>
            <w:tcBorders>
              <w:top w:val="single" w:sz="4" w:space="0" w:color="000000"/>
              <w:bottom w:val="nil"/>
            </w:tcBorders>
            <w:vAlign w:val="center"/>
          </w:tcPr>
          <w:p w14:paraId="55EA51D5" w14:textId="77777777" w:rsidR="004E4FDB" w:rsidRPr="00880E85" w:rsidRDefault="004E4FDB" w:rsidP="00E70436">
            <w:pPr>
              <w:widowControl w:val="0"/>
              <w:jc w:val="center"/>
              <w:rPr>
                <w:i/>
              </w:rPr>
            </w:pPr>
          </w:p>
        </w:tc>
        <w:tc>
          <w:tcPr>
            <w:tcW w:w="1071" w:type="dxa"/>
            <w:tcBorders>
              <w:top w:val="single" w:sz="4" w:space="0" w:color="auto"/>
            </w:tcBorders>
            <w:vAlign w:val="center"/>
          </w:tcPr>
          <w:p w14:paraId="1952378A" w14:textId="77777777" w:rsidR="004E4FDB" w:rsidRPr="00880E85" w:rsidRDefault="004E4FDB" w:rsidP="00E70436">
            <w:pPr>
              <w:widowControl w:val="0"/>
              <w:jc w:val="center"/>
              <w:rPr>
                <w:i/>
              </w:rPr>
            </w:pPr>
          </w:p>
        </w:tc>
        <w:tc>
          <w:tcPr>
            <w:tcW w:w="1071" w:type="dxa"/>
            <w:tcBorders>
              <w:top w:val="single" w:sz="4" w:space="0" w:color="auto"/>
            </w:tcBorders>
            <w:vAlign w:val="center"/>
          </w:tcPr>
          <w:p w14:paraId="022976D6" w14:textId="77777777" w:rsidR="004E4FDB" w:rsidRPr="00880E85" w:rsidRDefault="004E4FDB" w:rsidP="00E70436">
            <w:pPr>
              <w:widowControl w:val="0"/>
              <w:jc w:val="center"/>
              <w:rPr>
                <w:i/>
              </w:rPr>
            </w:pPr>
          </w:p>
        </w:tc>
        <w:tc>
          <w:tcPr>
            <w:tcW w:w="1071" w:type="dxa"/>
            <w:tcBorders>
              <w:top w:val="single" w:sz="4" w:space="0" w:color="auto"/>
            </w:tcBorders>
            <w:vAlign w:val="center"/>
          </w:tcPr>
          <w:p w14:paraId="0BC0B115" w14:textId="77777777" w:rsidR="004E4FDB" w:rsidRPr="00880E85" w:rsidRDefault="004E4FDB" w:rsidP="00E70436">
            <w:pPr>
              <w:widowControl w:val="0"/>
              <w:jc w:val="center"/>
              <w:rPr>
                <w:i/>
              </w:rPr>
            </w:pPr>
          </w:p>
        </w:tc>
        <w:tc>
          <w:tcPr>
            <w:tcW w:w="1071" w:type="dxa"/>
            <w:tcBorders>
              <w:top w:val="single" w:sz="4" w:space="0" w:color="auto"/>
            </w:tcBorders>
            <w:vAlign w:val="center"/>
          </w:tcPr>
          <w:p w14:paraId="7A563517" w14:textId="77777777" w:rsidR="004E4FDB" w:rsidRPr="00880E85" w:rsidRDefault="004E4FDB" w:rsidP="00E70436">
            <w:pPr>
              <w:widowControl w:val="0"/>
              <w:jc w:val="center"/>
              <w:rPr>
                <w:i/>
              </w:rPr>
            </w:pPr>
          </w:p>
        </w:tc>
        <w:tc>
          <w:tcPr>
            <w:tcW w:w="1071" w:type="dxa"/>
            <w:tcBorders>
              <w:top w:val="single" w:sz="4" w:space="0" w:color="auto"/>
            </w:tcBorders>
            <w:vAlign w:val="center"/>
          </w:tcPr>
          <w:p w14:paraId="583FA89C" w14:textId="77777777" w:rsidR="004E4FDB" w:rsidRPr="00880E85" w:rsidRDefault="004E4FDB" w:rsidP="00E70436">
            <w:pPr>
              <w:widowControl w:val="0"/>
              <w:jc w:val="center"/>
              <w:rPr>
                <w:i/>
              </w:rPr>
            </w:pPr>
          </w:p>
        </w:tc>
        <w:tc>
          <w:tcPr>
            <w:tcW w:w="1071" w:type="dxa"/>
            <w:tcBorders>
              <w:top w:val="single" w:sz="4" w:space="0" w:color="auto"/>
            </w:tcBorders>
            <w:vAlign w:val="center"/>
          </w:tcPr>
          <w:p w14:paraId="1D343D91" w14:textId="77777777" w:rsidR="004E4FDB" w:rsidRPr="00880E85" w:rsidRDefault="004E4FDB" w:rsidP="00E70436">
            <w:pPr>
              <w:widowControl w:val="0"/>
              <w:jc w:val="center"/>
              <w:rPr>
                <w:i/>
              </w:rPr>
            </w:pPr>
          </w:p>
        </w:tc>
        <w:tc>
          <w:tcPr>
            <w:tcW w:w="1071" w:type="dxa"/>
            <w:tcBorders>
              <w:top w:val="single" w:sz="4" w:space="0" w:color="auto"/>
            </w:tcBorders>
            <w:vAlign w:val="center"/>
          </w:tcPr>
          <w:p w14:paraId="782AB5CB" w14:textId="77777777" w:rsidR="004E4FDB" w:rsidRPr="00880E85" w:rsidRDefault="004E4FDB" w:rsidP="00E70436">
            <w:pPr>
              <w:widowControl w:val="0"/>
              <w:jc w:val="center"/>
              <w:rPr>
                <w:i/>
              </w:rPr>
            </w:pPr>
          </w:p>
        </w:tc>
        <w:tc>
          <w:tcPr>
            <w:tcW w:w="1071" w:type="dxa"/>
            <w:tcBorders>
              <w:top w:val="single" w:sz="4" w:space="0" w:color="auto"/>
            </w:tcBorders>
            <w:vAlign w:val="center"/>
          </w:tcPr>
          <w:p w14:paraId="198D2FF3" w14:textId="77777777" w:rsidR="004E4FDB" w:rsidRPr="00880E85" w:rsidRDefault="004E4FDB" w:rsidP="00E70436">
            <w:pPr>
              <w:widowControl w:val="0"/>
              <w:jc w:val="center"/>
              <w:rPr>
                <w:i/>
              </w:rPr>
            </w:pPr>
          </w:p>
        </w:tc>
      </w:tr>
      <w:tr w:rsidR="004E4FDB" w:rsidRPr="00E91D6A" w14:paraId="2D8A3FD1" w14:textId="77777777" w:rsidTr="00AA2A4C">
        <w:trPr>
          <w:trHeight w:val="672"/>
        </w:trPr>
        <w:tc>
          <w:tcPr>
            <w:tcW w:w="2070" w:type="dxa"/>
            <w:tcBorders>
              <w:top w:val="nil"/>
              <w:left w:val="nil"/>
              <w:bottom w:val="nil"/>
              <w:right w:val="nil"/>
            </w:tcBorders>
            <w:vAlign w:val="center"/>
          </w:tcPr>
          <w:p w14:paraId="232CAA2B" w14:textId="77777777" w:rsidR="004E4FDB" w:rsidRPr="00E91D6A" w:rsidRDefault="00350A7B" w:rsidP="00E70436">
            <w:pPr>
              <w:widowControl w:val="0"/>
              <w:ind w:left="252"/>
              <w:jc w:val="center"/>
            </w:pPr>
            <w:r w:rsidRPr="00350A7B">
              <w:t>Family</w:t>
            </w:r>
          </w:p>
        </w:tc>
        <w:tc>
          <w:tcPr>
            <w:tcW w:w="1071" w:type="dxa"/>
            <w:tcBorders>
              <w:top w:val="nil"/>
              <w:left w:val="nil"/>
              <w:bottom w:val="nil"/>
              <w:right w:val="nil"/>
            </w:tcBorders>
            <w:vAlign w:val="center"/>
          </w:tcPr>
          <w:p w14:paraId="0388E65A" w14:textId="77777777" w:rsidR="004E4FDB" w:rsidRPr="00EA191B" w:rsidRDefault="004E4FDB" w:rsidP="00E70436">
            <w:pPr>
              <w:widowControl w:val="0"/>
              <w:jc w:val="center"/>
              <w:rPr>
                <w:vertAlign w:val="superscript"/>
              </w:rPr>
            </w:pPr>
            <w:r>
              <w:t>5.39</w:t>
            </w:r>
            <w:r w:rsidR="00EA191B">
              <w:rPr>
                <w:vertAlign w:val="superscript"/>
              </w:rPr>
              <w:t>a</w:t>
            </w:r>
          </w:p>
        </w:tc>
        <w:tc>
          <w:tcPr>
            <w:tcW w:w="1071" w:type="dxa"/>
            <w:tcBorders>
              <w:top w:val="nil"/>
              <w:left w:val="nil"/>
              <w:bottom w:val="nil"/>
            </w:tcBorders>
            <w:vAlign w:val="center"/>
          </w:tcPr>
          <w:p w14:paraId="35F9BD0C" w14:textId="77777777" w:rsidR="004E4FDB" w:rsidRPr="00E91D6A" w:rsidRDefault="004E4FDB" w:rsidP="00E70436">
            <w:pPr>
              <w:widowControl w:val="0"/>
              <w:jc w:val="center"/>
            </w:pPr>
            <w:r>
              <w:t>2.21</w:t>
            </w:r>
          </w:p>
        </w:tc>
        <w:tc>
          <w:tcPr>
            <w:tcW w:w="1071" w:type="dxa"/>
            <w:vAlign w:val="center"/>
          </w:tcPr>
          <w:p w14:paraId="48D65199" w14:textId="77777777" w:rsidR="004E4FDB" w:rsidRDefault="00EA191B" w:rsidP="00E70436">
            <w:pPr>
              <w:widowControl w:val="0"/>
              <w:jc w:val="center"/>
            </w:pPr>
            <w:r>
              <w:t>4.22</w:t>
            </w:r>
          </w:p>
        </w:tc>
        <w:tc>
          <w:tcPr>
            <w:tcW w:w="1071" w:type="dxa"/>
            <w:vAlign w:val="center"/>
          </w:tcPr>
          <w:p w14:paraId="6105250F" w14:textId="77777777" w:rsidR="004E4FDB" w:rsidRDefault="00EA191B" w:rsidP="00E70436">
            <w:pPr>
              <w:widowControl w:val="0"/>
              <w:jc w:val="center"/>
            </w:pPr>
            <w:r>
              <w:t>1.56</w:t>
            </w:r>
          </w:p>
        </w:tc>
        <w:tc>
          <w:tcPr>
            <w:tcW w:w="1071" w:type="dxa"/>
            <w:vAlign w:val="center"/>
          </w:tcPr>
          <w:p w14:paraId="1D6B9F6C" w14:textId="77777777" w:rsidR="004E4FDB" w:rsidRDefault="00EA191B" w:rsidP="00E70436">
            <w:pPr>
              <w:widowControl w:val="0"/>
              <w:jc w:val="center"/>
            </w:pPr>
            <w:r>
              <w:t>4.06</w:t>
            </w:r>
          </w:p>
        </w:tc>
        <w:tc>
          <w:tcPr>
            <w:tcW w:w="1071" w:type="dxa"/>
            <w:vAlign w:val="center"/>
          </w:tcPr>
          <w:p w14:paraId="44CFA616" w14:textId="77777777" w:rsidR="004E4FDB" w:rsidRDefault="00EA191B" w:rsidP="00E70436">
            <w:pPr>
              <w:widowControl w:val="0"/>
              <w:jc w:val="center"/>
            </w:pPr>
            <w:r>
              <w:t>1.66</w:t>
            </w:r>
          </w:p>
        </w:tc>
        <w:tc>
          <w:tcPr>
            <w:tcW w:w="1071" w:type="dxa"/>
            <w:vAlign w:val="center"/>
          </w:tcPr>
          <w:p w14:paraId="6D236824" w14:textId="77777777" w:rsidR="004E4FDB" w:rsidRDefault="00EA191B" w:rsidP="00E70436">
            <w:pPr>
              <w:widowControl w:val="0"/>
              <w:jc w:val="center"/>
            </w:pPr>
            <w:r>
              <w:t>3.89</w:t>
            </w:r>
          </w:p>
        </w:tc>
        <w:tc>
          <w:tcPr>
            <w:tcW w:w="1071" w:type="dxa"/>
            <w:vAlign w:val="center"/>
          </w:tcPr>
          <w:p w14:paraId="025F183B" w14:textId="77777777" w:rsidR="004E4FDB" w:rsidRDefault="00EA191B" w:rsidP="00E70436">
            <w:pPr>
              <w:widowControl w:val="0"/>
              <w:jc w:val="center"/>
            </w:pPr>
            <w:r>
              <w:t>1.53</w:t>
            </w:r>
          </w:p>
        </w:tc>
        <w:tc>
          <w:tcPr>
            <w:tcW w:w="1071" w:type="dxa"/>
            <w:vAlign w:val="center"/>
          </w:tcPr>
          <w:p w14:paraId="15313952" w14:textId="77777777" w:rsidR="004E4FDB" w:rsidRDefault="00EA191B" w:rsidP="00E70436">
            <w:pPr>
              <w:widowControl w:val="0"/>
              <w:jc w:val="center"/>
            </w:pPr>
            <w:r>
              <w:t>3.83</w:t>
            </w:r>
          </w:p>
        </w:tc>
        <w:tc>
          <w:tcPr>
            <w:tcW w:w="1071" w:type="dxa"/>
            <w:vAlign w:val="center"/>
          </w:tcPr>
          <w:p w14:paraId="1C70C6E0" w14:textId="77777777" w:rsidR="004E4FDB" w:rsidRDefault="00EA191B" w:rsidP="00E70436">
            <w:pPr>
              <w:widowControl w:val="0"/>
              <w:jc w:val="center"/>
            </w:pPr>
            <w:r>
              <w:t>1.79</w:t>
            </w:r>
          </w:p>
        </w:tc>
      </w:tr>
      <w:tr w:rsidR="004E4FDB" w:rsidRPr="00E91D6A" w14:paraId="5DE2ED80" w14:textId="77777777" w:rsidTr="00AA2A4C">
        <w:trPr>
          <w:trHeight w:val="672"/>
        </w:trPr>
        <w:tc>
          <w:tcPr>
            <w:tcW w:w="2070" w:type="dxa"/>
            <w:tcBorders>
              <w:top w:val="nil"/>
              <w:bottom w:val="single" w:sz="4" w:space="0" w:color="auto"/>
            </w:tcBorders>
            <w:vAlign w:val="center"/>
          </w:tcPr>
          <w:p w14:paraId="2BBEF07F" w14:textId="77777777" w:rsidR="004E4FDB" w:rsidRDefault="00350A7B" w:rsidP="00E70436">
            <w:pPr>
              <w:widowControl w:val="0"/>
              <w:ind w:left="252"/>
              <w:jc w:val="center"/>
            </w:pPr>
            <w:r w:rsidRPr="00350A7B">
              <w:t>Non-family</w:t>
            </w:r>
          </w:p>
        </w:tc>
        <w:tc>
          <w:tcPr>
            <w:tcW w:w="1071" w:type="dxa"/>
            <w:tcBorders>
              <w:top w:val="nil"/>
              <w:bottom w:val="single" w:sz="4" w:space="0" w:color="auto"/>
            </w:tcBorders>
            <w:vAlign w:val="center"/>
          </w:tcPr>
          <w:p w14:paraId="571CFB1F" w14:textId="77777777" w:rsidR="004E4FDB" w:rsidRPr="00EA191B" w:rsidRDefault="004E4FDB" w:rsidP="00E70436">
            <w:pPr>
              <w:widowControl w:val="0"/>
              <w:jc w:val="center"/>
              <w:rPr>
                <w:vertAlign w:val="superscript"/>
              </w:rPr>
            </w:pPr>
            <w:r>
              <w:t>2.00</w:t>
            </w:r>
            <w:r w:rsidR="00EA191B">
              <w:rPr>
                <w:vertAlign w:val="superscript"/>
              </w:rPr>
              <w:t>b</w:t>
            </w:r>
          </w:p>
        </w:tc>
        <w:tc>
          <w:tcPr>
            <w:tcW w:w="1071" w:type="dxa"/>
            <w:tcBorders>
              <w:top w:val="nil"/>
              <w:bottom w:val="single" w:sz="4" w:space="0" w:color="auto"/>
            </w:tcBorders>
            <w:vAlign w:val="center"/>
          </w:tcPr>
          <w:p w14:paraId="0DDABCF1" w14:textId="77777777" w:rsidR="004E4FDB" w:rsidRDefault="004E4FDB" w:rsidP="00E70436">
            <w:pPr>
              <w:widowControl w:val="0"/>
              <w:jc w:val="center"/>
            </w:pPr>
            <w:r>
              <w:t>1.37</w:t>
            </w:r>
          </w:p>
        </w:tc>
        <w:tc>
          <w:tcPr>
            <w:tcW w:w="1071" w:type="dxa"/>
            <w:tcBorders>
              <w:bottom w:val="single" w:sz="4" w:space="0" w:color="auto"/>
            </w:tcBorders>
            <w:vAlign w:val="center"/>
          </w:tcPr>
          <w:p w14:paraId="1B8F1383" w14:textId="77777777" w:rsidR="004E4FDB" w:rsidRDefault="00EA191B" w:rsidP="00E70436">
            <w:pPr>
              <w:widowControl w:val="0"/>
              <w:jc w:val="center"/>
            </w:pPr>
            <w:r>
              <w:t>4.00</w:t>
            </w:r>
          </w:p>
        </w:tc>
        <w:tc>
          <w:tcPr>
            <w:tcW w:w="1071" w:type="dxa"/>
            <w:tcBorders>
              <w:bottom w:val="single" w:sz="4" w:space="0" w:color="auto"/>
            </w:tcBorders>
            <w:vAlign w:val="center"/>
          </w:tcPr>
          <w:p w14:paraId="5AEC57A3" w14:textId="77777777" w:rsidR="004E4FDB" w:rsidRDefault="00EA191B" w:rsidP="00E70436">
            <w:pPr>
              <w:widowControl w:val="0"/>
              <w:jc w:val="center"/>
            </w:pPr>
            <w:r>
              <w:t>.91</w:t>
            </w:r>
          </w:p>
        </w:tc>
        <w:tc>
          <w:tcPr>
            <w:tcW w:w="1071" w:type="dxa"/>
            <w:tcBorders>
              <w:bottom w:val="single" w:sz="4" w:space="0" w:color="auto"/>
            </w:tcBorders>
            <w:vAlign w:val="center"/>
          </w:tcPr>
          <w:p w14:paraId="37EAFA42" w14:textId="77777777" w:rsidR="004E4FDB" w:rsidRDefault="00EA191B" w:rsidP="00E70436">
            <w:pPr>
              <w:widowControl w:val="0"/>
              <w:jc w:val="center"/>
            </w:pPr>
            <w:r>
              <w:t>3.85</w:t>
            </w:r>
          </w:p>
        </w:tc>
        <w:tc>
          <w:tcPr>
            <w:tcW w:w="1071" w:type="dxa"/>
            <w:tcBorders>
              <w:bottom w:val="single" w:sz="4" w:space="0" w:color="auto"/>
            </w:tcBorders>
            <w:vAlign w:val="center"/>
          </w:tcPr>
          <w:p w14:paraId="4C8F7AFC" w14:textId="77777777" w:rsidR="004E4FDB" w:rsidRDefault="00EA191B" w:rsidP="00E70436">
            <w:pPr>
              <w:widowControl w:val="0"/>
              <w:jc w:val="center"/>
            </w:pPr>
            <w:r>
              <w:t>1.41</w:t>
            </w:r>
          </w:p>
        </w:tc>
        <w:tc>
          <w:tcPr>
            <w:tcW w:w="1071" w:type="dxa"/>
            <w:tcBorders>
              <w:bottom w:val="single" w:sz="4" w:space="0" w:color="auto"/>
            </w:tcBorders>
            <w:vAlign w:val="center"/>
          </w:tcPr>
          <w:p w14:paraId="376DFA8D" w14:textId="77777777" w:rsidR="004E4FDB" w:rsidRDefault="00EA191B" w:rsidP="00E70436">
            <w:pPr>
              <w:widowControl w:val="0"/>
              <w:jc w:val="center"/>
            </w:pPr>
            <w:r>
              <w:t>3.85</w:t>
            </w:r>
          </w:p>
        </w:tc>
        <w:tc>
          <w:tcPr>
            <w:tcW w:w="1071" w:type="dxa"/>
            <w:tcBorders>
              <w:bottom w:val="single" w:sz="4" w:space="0" w:color="auto"/>
            </w:tcBorders>
            <w:vAlign w:val="center"/>
          </w:tcPr>
          <w:p w14:paraId="1131C75F" w14:textId="77777777" w:rsidR="004E4FDB" w:rsidRDefault="00EA191B" w:rsidP="00E70436">
            <w:pPr>
              <w:widowControl w:val="0"/>
              <w:jc w:val="center"/>
            </w:pPr>
            <w:r>
              <w:t>1.41</w:t>
            </w:r>
          </w:p>
        </w:tc>
        <w:tc>
          <w:tcPr>
            <w:tcW w:w="1071" w:type="dxa"/>
            <w:tcBorders>
              <w:bottom w:val="single" w:sz="4" w:space="0" w:color="auto"/>
            </w:tcBorders>
            <w:vAlign w:val="center"/>
          </w:tcPr>
          <w:p w14:paraId="3DBA3A50" w14:textId="77777777" w:rsidR="004E4FDB" w:rsidRDefault="00DC4099" w:rsidP="00E70436">
            <w:pPr>
              <w:widowControl w:val="0"/>
              <w:jc w:val="center"/>
            </w:pPr>
            <w:r>
              <w:t>4.54</w:t>
            </w:r>
          </w:p>
        </w:tc>
        <w:tc>
          <w:tcPr>
            <w:tcW w:w="1071" w:type="dxa"/>
            <w:tcBorders>
              <w:bottom w:val="single" w:sz="4" w:space="0" w:color="auto"/>
            </w:tcBorders>
            <w:vAlign w:val="center"/>
          </w:tcPr>
          <w:p w14:paraId="2C5BEEBF" w14:textId="77777777" w:rsidR="004E4FDB" w:rsidRDefault="00DC4099" w:rsidP="00E70436">
            <w:pPr>
              <w:widowControl w:val="0"/>
              <w:jc w:val="center"/>
            </w:pPr>
            <w:r>
              <w:t>2.07</w:t>
            </w:r>
          </w:p>
        </w:tc>
      </w:tr>
    </w:tbl>
    <w:p w14:paraId="65BE38B7" w14:textId="77777777" w:rsidR="008565BF" w:rsidRPr="004E4FDB" w:rsidRDefault="008565BF" w:rsidP="00E70436">
      <w:pPr>
        <w:widowControl w:val="0"/>
        <w:spacing w:line="240" w:lineRule="auto"/>
        <w:jc w:val="both"/>
      </w:pPr>
      <w:r>
        <w:rPr>
          <w:i/>
        </w:rPr>
        <w:t>Note.</w:t>
      </w:r>
      <w:r w:rsidR="004E4FDB">
        <w:rPr>
          <w:i/>
        </w:rPr>
        <w:t xml:space="preserve"> </w:t>
      </w:r>
      <w:r w:rsidR="004E4FDB">
        <w:t xml:space="preserve">Subscripts denote significant differences at </w:t>
      </w:r>
      <w:r w:rsidR="004E4FDB" w:rsidRPr="004E4FDB">
        <w:rPr>
          <w:i/>
        </w:rPr>
        <w:t>p</w:t>
      </w:r>
      <w:r w:rsidR="004E4FDB">
        <w:t xml:space="preserve"> &lt; .05</w:t>
      </w:r>
    </w:p>
    <w:p w14:paraId="4D92AFED" w14:textId="77777777" w:rsidR="00C2201F" w:rsidRDefault="004E4FDB" w:rsidP="00E70436">
      <w:pPr>
        <w:widowControl w:val="0"/>
        <w:spacing w:line="240" w:lineRule="auto"/>
        <w:jc w:val="both"/>
      </w:pPr>
      <w:r w:rsidRPr="004E4FDB">
        <w:t>All variables were measured on a 1-7 scale.</w:t>
      </w:r>
    </w:p>
    <w:p w14:paraId="0F740313" w14:textId="77777777" w:rsidR="004E4FDB" w:rsidRDefault="004E4FDB" w:rsidP="00E70436">
      <w:pPr>
        <w:widowControl w:val="0"/>
        <w:jc w:val="both"/>
        <w:sectPr w:rsidR="004E4FDB" w:rsidSect="00C2201F">
          <w:pgSz w:w="15840" w:h="12240" w:orient="landscape"/>
          <w:pgMar w:top="1440" w:right="1440" w:bottom="1440" w:left="1440" w:header="720" w:footer="720" w:gutter="0"/>
          <w:cols w:space="720"/>
          <w:titlePg/>
          <w:docGrid w:linePitch="360"/>
        </w:sectPr>
      </w:pPr>
    </w:p>
    <w:p w14:paraId="70A6998F" w14:textId="77777777" w:rsidR="0077669B" w:rsidRPr="00C62078" w:rsidRDefault="0077669B" w:rsidP="00E70436">
      <w:pPr>
        <w:widowControl w:val="0"/>
        <w:rPr>
          <w:b/>
          <w:bCs/>
        </w:rPr>
      </w:pPr>
      <w:r w:rsidRPr="00C62078">
        <w:rPr>
          <w:bCs/>
        </w:rPr>
        <w:lastRenderedPageBreak/>
        <w:t xml:space="preserve">Table </w:t>
      </w:r>
      <w:r>
        <w:rPr>
          <w:bCs/>
        </w:rPr>
        <w:t>2</w:t>
      </w:r>
    </w:p>
    <w:p w14:paraId="425E02DA" w14:textId="77777777" w:rsidR="0077669B" w:rsidRPr="00C62078" w:rsidRDefault="0077669B" w:rsidP="00E70436">
      <w:pPr>
        <w:widowControl w:val="0"/>
        <w:rPr>
          <w:i/>
        </w:rPr>
      </w:pPr>
      <w:r w:rsidRPr="00C62078">
        <w:rPr>
          <w:i/>
        </w:rPr>
        <w:t xml:space="preserve">Factor Loadings for </w:t>
      </w:r>
      <w:r>
        <w:rPr>
          <w:i/>
        </w:rPr>
        <w:t>Perception of the Role Models</w:t>
      </w:r>
      <w:r w:rsidRPr="00C62078">
        <w:rPr>
          <w:i/>
        </w:rPr>
        <w:t xml:space="preserve"> using </w:t>
      </w:r>
      <w:r>
        <w:rPr>
          <w:i/>
        </w:rPr>
        <w:t>Principal Component</w:t>
      </w:r>
      <w:r w:rsidRPr="00C62078">
        <w:rPr>
          <w:i/>
        </w:rPr>
        <w:t xml:space="preserve"> Analysis</w:t>
      </w:r>
      <w:r w:rsidR="00A6519C">
        <w:rPr>
          <w:i/>
        </w:rPr>
        <w:t xml:space="preserve"> with </w:t>
      </w:r>
      <w:proofErr w:type="spellStart"/>
      <w:r w:rsidR="00A6519C">
        <w:rPr>
          <w:i/>
        </w:rPr>
        <w:t>Oblimin</w:t>
      </w:r>
      <w:proofErr w:type="spellEnd"/>
      <w:r w:rsidR="00A6519C">
        <w:rPr>
          <w:i/>
        </w:rPr>
        <w:t xml:space="preserve"> Rotation</w:t>
      </w:r>
    </w:p>
    <w:tbl>
      <w:tblPr>
        <w:tblStyle w:val="TableGrid"/>
        <w:tblW w:w="9360" w:type="dxa"/>
        <w:tblBorders>
          <w:left w:val="none" w:sz="0" w:space="0" w:color="auto"/>
          <w:right w:val="none" w:sz="0" w:space="0" w:color="auto"/>
        </w:tblBorders>
        <w:tblLayout w:type="fixed"/>
        <w:tblLook w:val="04A0" w:firstRow="1" w:lastRow="0" w:firstColumn="1" w:lastColumn="0" w:noHBand="0" w:noVBand="1"/>
      </w:tblPr>
      <w:tblGrid>
        <w:gridCol w:w="5490"/>
        <w:gridCol w:w="1935"/>
        <w:gridCol w:w="1935"/>
      </w:tblGrid>
      <w:tr w:rsidR="0077669B" w:rsidRPr="00C62078" w14:paraId="2B828544" w14:textId="77777777" w:rsidTr="003779CE">
        <w:tc>
          <w:tcPr>
            <w:tcW w:w="5490" w:type="dxa"/>
            <w:tcBorders>
              <w:bottom w:val="single" w:sz="4" w:space="0" w:color="auto"/>
              <w:right w:val="nil"/>
            </w:tcBorders>
            <w:vAlign w:val="center"/>
          </w:tcPr>
          <w:p w14:paraId="2BA0416F" w14:textId="77777777" w:rsidR="0077669B" w:rsidRPr="00C62078" w:rsidRDefault="0077669B" w:rsidP="00E70436">
            <w:pPr>
              <w:widowControl w:val="0"/>
              <w:spacing w:line="480" w:lineRule="auto"/>
              <w:rPr>
                <w:rFonts w:ascii="Times New Roman" w:hAnsi="Times New Roman" w:cs="Times New Roman"/>
                <w:sz w:val="24"/>
                <w:szCs w:val="24"/>
              </w:rPr>
            </w:pPr>
            <w:r w:rsidRPr="00C62078">
              <w:rPr>
                <w:rFonts w:ascii="Times New Roman" w:hAnsi="Times New Roman" w:cs="Times New Roman"/>
                <w:sz w:val="24"/>
                <w:szCs w:val="24"/>
              </w:rPr>
              <w:t xml:space="preserve">Items </w:t>
            </w:r>
          </w:p>
        </w:tc>
        <w:tc>
          <w:tcPr>
            <w:tcW w:w="1935" w:type="dxa"/>
            <w:tcBorders>
              <w:left w:val="nil"/>
              <w:bottom w:val="single" w:sz="4" w:space="0" w:color="auto"/>
              <w:right w:val="nil"/>
            </w:tcBorders>
          </w:tcPr>
          <w:p w14:paraId="3DFB09CE" w14:textId="77777777" w:rsidR="0077669B" w:rsidRPr="00C62078" w:rsidRDefault="0077669B" w:rsidP="00E70436">
            <w:pPr>
              <w:widowControl w:val="0"/>
              <w:spacing w:line="480" w:lineRule="auto"/>
              <w:jc w:val="center"/>
              <w:rPr>
                <w:rFonts w:ascii="Times New Roman" w:hAnsi="Times New Roman" w:cs="Times New Roman"/>
                <w:sz w:val="24"/>
                <w:szCs w:val="24"/>
              </w:rPr>
            </w:pPr>
            <w:r w:rsidRPr="00C62078">
              <w:rPr>
                <w:rFonts w:ascii="Times New Roman" w:hAnsi="Times New Roman" w:cs="Times New Roman"/>
                <w:sz w:val="24"/>
                <w:szCs w:val="24"/>
              </w:rPr>
              <w:t>Factor 1</w:t>
            </w:r>
          </w:p>
        </w:tc>
        <w:tc>
          <w:tcPr>
            <w:tcW w:w="1935" w:type="dxa"/>
            <w:tcBorders>
              <w:left w:val="nil"/>
              <w:bottom w:val="single" w:sz="4" w:space="0" w:color="auto"/>
            </w:tcBorders>
          </w:tcPr>
          <w:p w14:paraId="62B3EC71" w14:textId="77777777" w:rsidR="0077669B" w:rsidRPr="00C62078" w:rsidRDefault="0077669B" w:rsidP="00E70436">
            <w:pPr>
              <w:widowControl w:val="0"/>
              <w:spacing w:line="480" w:lineRule="auto"/>
              <w:jc w:val="center"/>
              <w:rPr>
                <w:rFonts w:ascii="Times New Roman" w:hAnsi="Times New Roman" w:cs="Times New Roman"/>
                <w:sz w:val="24"/>
                <w:szCs w:val="24"/>
              </w:rPr>
            </w:pPr>
            <w:r w:rsidRPr="00C62078">
              <w:rPr>
                <w:rFonts w:ascii="Times New Roman" w:hAnsi="Times New Roman" w:cs="Times New Roman"/>
                <w:sz w:val="24"/>
                <w:szCs w:val="24"/>
              </w:rPr>
              <w:t xml:space="preserve">Factor 2 </w:t>
            </w:r>
          </w:p>
        </w:tc>
      </w:tr>
      <w:tr w:rsidR="0077669B" w:rsidRPr="00C62078" w14:paraId="38FEBDAF" w14:textId="77777777" w:rsidTr="003779CE">
        <w:tc>
          <w:tcPr>
            <w:tcW w:w="5490" w:type="dxa"/>
            <w:tcBorders>
              <w:bottom w:val="nil"/>
              <w:right w:val="nil"/>
            </w:tcBorders>
          </w:tcPr>
          <w:p w14:paraId="493F4FDA" w14:textId="77777777" w:rsidR="0077669B" w:rsidRPr="00C62078" w:rsidRDefault="0077669B" w:rsidP="00E70436">
            <w:pPr>
              <w:widowControl w:val="0"/>
              <w:spacing w:line="480" w:lineRule="auto"/>
              <w:rPr>
                <w:rFonts w:ascii="Times New Roman" w:hAnsi="Times New Roman" w:cs="Times New Roman"/>
                <w:sz w:val="24"/>
                <w:szCs w:val="24"/>
              </w:rPr>
            </w:pPr>
            <w:r>
              <w:rPr>
                <w:rFonts w:ascii="Times New Roman" w:hAnsi="Times New Roman" w:cs="Times New Roman"/>
                <w:sz w:val="24"/>
                <w:szCs w:val="24"/>
              </w:rPr>
              <w:t>I feel connected to [role model</w:t>
            </w:r>
            <w:proofErr w:type="gramStart"/>
            <w:r>
              <w:rPr>
                <w:rFonts w:ascii="Times New Roman" w:hAnsi="Times New Roman" w:cs="Times New Roman"/>
                <w:sz w:val="24"/>
                <w:szCs w:val="24"/>
              </w:rPr>
              <w:t>].</w:t>
            </w:r>
            <w:r w:rsidR="00242867">
              <w:rPr>
                <w:rFonts w:ascii="Times New Roman" w:hAnsi="Times New Roman" w:cs="Times New Roman"/>
                <w:sz w:val="24"/>
                <w:szCs w:val="24"/>
              </w:rPr>
              <w:t>*</w:t>
            </w:r>
            <w:proofErr w:type="gramEnd"/>
          </w:p>
        </w:tc>
        <w:tc>
          <w:tcPr>
            <w:tcW w:w="1935" w:type="dxa"/>
            <w:tcBorders>
              <w:left w:val="nil"/>
              <w:bottom w:val="nil"/>
              <w:right w:val="nil"/>
            </w:tcBorders>
            <w:vAlign w:val="bottom"/>
          </w:tcPr>
          <w:p w14:paraId="1CE74958" w14:textId="77777777" w:rsidR="0077669B" w:rsidRPr="00400035" w:rsidRDefault="0007189A" w:rsidP="00E70436">
            <w:pPr>
              <w:widowControl w:val="0"/>
              <w:spacing w:line="480" w:lineRule="auto"/>
              <w:jc w:val="center"/>
              <w:rPr>
                <w:rFonts w:ascii="Times New Roman" w:hAnsi="Times New Roman" w:cs="Times New Roman"/>
                <w:sz w:val="24"/>
                <w:szCs w:val="24"/>
              </w:rPr>
            </w:pPr>
            <w:r w:rsidRPr="00400035">
              <w:rPr>
                <w:rFonts w:ascii="Times New Roman" w:hAnsi="Times New Roman" w:cs="Times New Roman"/>
                <w:sz w:val="24"/>
                <w:szCs w:val="24"/>
              </w:rPr>
              <w:t>.86</w:t>
            </w:r>
            <w:r w:rsidR="00242867" w:rsidRPr="00400035">
              <w:rPr>
                <w:rFonts w:ascii="Times New Roman" w:hAnsi="Times New Roman" w:cs="Times New Roman"/>
                <w:sz w:val="24"/>
                <w:szCs w:val="24"/>
              </w:rPr>
              <w:t>1</w:t>
            </w:r>
          </w:p>
        </w:tc>
        <w:tc>
          <w:tcPr>
            <w:tcW w:w="1935" w:type="dxa"/>
            <w:tcBorders>
              <w:left w:val="nil"/>
              <w:bottom w:val="nil"/>
            </w:tcBorders>
            <w:vAlign w:val="bottom"/>
          </w:tcPr>
          <w:p w14:paraId="6FF58511" w14:textId="77777777" w:rsidR="0077669B" w:rsidRPr="00400035" w:rsidRDefault="0007189A" w:rsidP="00E70436">
            <w:pPr>
              <w:widowControl w:val="0"/>
              <w:spacing w:line="480" w:lineRule="auto"/>
              <w:jc w:val="center"/>
              <w:rPr>
                <w:rFonts w:ascii="Times New Roman" w:hAnsi="Times New Roman" w:cs="Times New Roman"/>
                <w:sz w:val="24"/>
                <w:szCs w:val="24"/>
              </w:rPr>
            </w:pPr>
            <w:r w:rsidRPr="00400035">
              <w:rPr>
                <w:rFonts w:ascii="Times New Roman" w:hAnsi="Times New Roman" w:cs="Times New Roman"/>
                <w:sz w:val="24"/>
                <w:szCs w:val="24"/>
              </w:rPr>
              <w:t>.0</w:t>
            </w:r>
            <w:r w:rsidR="00242867" w:rsidRPr="00400035">
              <w:rPr>
                <w:rFonts w:ascii="Times New Roman" w:hAnsi="Times New Roman" w:cs="Times New Roman"/>
                <w:sz w:val="24"/>
                <w:szCs w:val="24"/>
              </w:rPr>
              <w:t>68</w:t>
            </w:r>
          </w:p>
        </w:tc>
      </w:tr>
      <w:tr w:rsidR="0077669B" w:rsidRPr="00C62078" w14:paraId="345534CE" w14:textId="77777777" w:rsidTr="003779CE">
        <w:tc>
          <w:tcPr>
            <w:tcW w:w="5490" w:type="dxa"/>
            <w:tcBorders>
              <w:top w:val="nil"/>
              <w:bottom w:val="nil"/>
              <w:right w:val="nil"/>
            </w:tcBorders>
          </w:tcPr>
          <w:p w14:paraId="1FBFBA9E" w14:textId="77777777" w:rsidR="0077669B" w:rsidRPr="00C62078" w:rsidRDefault="00242867" w:rsidP="00E70436">
            <w:pPr>
              <w:widowControl w:val="0"/>
              <w:spacing w:line="480" w:lineRule="auto"/>
              <w:rPr>
                <w:rFonts w:ascii="Times New Roman" w:hAnsi="Times New Roman" w:cs="Times New Roman"/>
                <w:sz w:val="24"/>
                <w:szCs w:val="24"/>
              </w:rPr>
            </w:pPr>
            <w:r w:rsidRPr="00242867">
              <w:rPr>
                <w:rFonts w:ascii="Times New Roman" w:hAnsi="Times New Roman" w:cs="Times New Roman"/>
                <w:sz w:val="24"/>
                <w:szCs w:val="24"/>
              </w:rPr>
              <w:t xml:space="preserve">[Role model] is </w:t>
            </w:r>
            <w:proofErr w:type="gramStart"/>
            <w:r w:rsidRPr="00242867">
              <w:rPr>
                <w:rFonts w:ascii="Times New Roman" w:hAnsi="Times New Roman" w:cs="Times New Roman"/>
                <w:sz w:val="24"/>
                <w:szCs w:val="24"/>
              </w:rPr>
              <w:t>inspiring.</w:t>
            </w:r>
            <w:r>
              <w:rPr>
                <w:rFonts w:ascii="Times New Roman" w:hAnsi="Times New Roman" w:cs="Times New Roman"/>
                <w:sz w:val="24"/>
                <w:szCs w:val="24"/>
              </w:rPr>
              <w:t>*</w:t>
            </w:r>
            <w:proofErr w:type="gramEnd"/>
          </w:p>
        </w:tc>
        <w:tc>
          <w:tcPr>
            <w:tcW w:w="1935" w:type="dxa"/>
            <w:tcBorders>
              <w:top w:val="nil"/>
              <w:left w:val="nil"/>
              <w:bottom w:val="nil"/>
              <w:right w:val="nil"/>
            </w:tcBorders>
            <w:vAlign w:val="bottom"/>
          </w:tcPr>
          <w:p w14:paraId="19670349" w14:textId="77777777" w:rsidR="0077669B" w:rsidRPr="00400035" w:rsidRDefault="0007189A" w:rsidP="00E70436">
            <w:pPr>
              <w:widowControl w:val="0"/>
              <w:spacing w:line="480" w:lineRule="auto"/>
              <w:jc w:val="center"/>
              <w:rPr>
                <w:rFonts w:ascii="Times New Roman" w:hAnsi="Times New Roman" w:cs="Times New Roman"/>
                <w:sz w:val="24"/>
                <w:szCs w:val="24"/>
              </w:rPr>
            </w:pPr>
            <w:r w:rsidRPr="00400035">
              <w:rPr>
                <w:rFonts w:ascii="Times New Roman" w:hAnsi="Times New Roman" w:cs="Times New Roman"/>
                <w:sz w:val="24"/>
                <w:szCs w:val="24"/>
              </w:rPr>
              <w:t>.7</w:t>
            </w:r>
            <w:r w:rsidR="00242867" w:rsidRPr="00400035">
              <w:rPr>
                <w:rFonts w:ascii="Times New Roman" w:hAnsi="Times New Roman" w:cs="Times New Roman"/>
                <w:sz w:val="24"/>
                <w:szCs w:val="24"/>
              </w:rPr>
              <w:t>80</w:t>
            </w:r>
          </w:p>
        </w:tc>
        <w:tc>
          <w:tcPr>
            <w:tcW w:w="1935" w:type="dxa"/>
            <w:tcBorders>
              <w:top w:val="nil"/>
              <w:left w:val="nil"/>
              <w:bottom w:val="nil"/>
            </w:tcBorders>
            <w:vAlign w:val="bottom"/>
          </w:tcPr>
          <w:p w14:paraId="1FF5D0BA" w14:textId="77777777" w:rsidR="0077669B" w:rsidRPr="00400035" w:rsidRDefault="00242867" w:rsidP="00E70436">
            <w:pPr>
              <w:widowControl w:val="0"/>
              <w:spacing w:line="480" w:lineRule="auto"/>
              <w:jc w:val="center"/>
              <w:rPr>
                <w:rFonts w:ascii="Times New Roman" w:hAnsi="Times New Roman" w:cs="Times New Roman"/>
                <w:sz w:val="24"/>
                <w:szCs w:val="24"/>
              </w:rPr>
            </w:pPr>
            <w:r w:rsidRPr="00400035">
              <w:rPr>
                <w:rFonts w:ascii="Times New Roman" w:hAnsi="Times New Roman" w:cs="Times New Roman"/>
                <w:sz w:val="24"/>
                <w:szCs w:val="24"/>
              </w:rPr>
              <w:t>-</w:t>
            </w:r>
            <w:r w:rsidR="0007189A" w:rsidRPr="00400035">
              <w:rPr>
                <w:rFonts w:ascii="Times New Roman" w:hAnsi="Times New Roman" w:cs="Times New Roman"/>
                <w:sz w:val="24"/>
                <w:szCs w:val="24"/>
              </w:rPr>
              <w:t>.</w:t>
            </w:r>
            <w:r w:rsidRPr="00400035">
              <w:rPr>
                <w:rFonts w:ascii="Times New Roman" w:hAnsi="Times New Roman" w:cs="Times New Roman"/>
                <w:sz w:val="24"/>
                <w:szCs w:val="24"/>
              </w:rPr>
              <w:t>377</w:t>
            </w:r>
          </w:p>
        </w:tc>
      </w:tr>
      <w:tr w:rsidR="0077669B" w:rsidRPr="00C62078" w14:paraId="455721F2" w14:textId="77777777" w:rsidTr="003779CE">
        <w:tc>
          <w:tcPr>
            <w:tcW w:w="5490" w:type="dxa"/>
            <w:tcBorders>
              <w:top w:val="nil"/>
              <w:bottom w:val="nil"/>
              <w:right w:val="nil"/>
            </w:tcBorders>
          </w:tcPr>
          <w:p w14:paraId="43D79662" w14:textId="0FCF30EE" w:rsidR="0077669B" w:rsidRPr="00C62078" w:rsidRDefault="00242867" w:rsidP="00E70436">
            <w:pPr>
              <w:widowControl w:val="0"/>
              <w:spacing w:line="480" w:lineRule="auto"/>
              <w:rPr>
                <w:rFonts w:ascii="Times New Roman" w:hAnsi="Times New Roman" w:cs="Times New Roman"/>
                <w:sz w:val="24"/>
                <w:szCs w:val="24"/>
              </w:rPr>
            </w:pPr>
            <w:r w:rsidRPr="00242867">
              <w:rPr>
                <w:rFonts w:ascii="Times New Roman" w:hAnsi="Times New Roman" w:cs="Times New Roman"/>
                <w:sz w:val="24"/>
                <w:szCs w:val="24"/>
              </w:rPr>
              <w:t xml:space="preserve">[Role model] is </w:t>
            </w:r>
            <w:proofErr w:type="gramStart"/>
            <w:r w:rsidRPr="00242867">
              <w:rPr>
                <w:rFonts w:ascii="Times New Roman" w:hAnsi="Times New Roman" w:cs="Times New Roman"/>
                <w:sz w:val="24"/>
                <w:szCs w:val="24"/>
              </w:rPr>
              <w:t>similar to</w:t>
            </w:r>
            <w:proofErr w:type="gramEnd"/>
            <w:r w:rsidRPr="00242867">
              <w:rPr>
                <w:rFonts w:ascii="Times New Roman" w:hAnsi="Times New Roman" w:cs="Times New Roman"/>
                <w:sz w:val="24"/>
                <w:szCs w:val="24"/>
              </w:rPr>
              <w:t xml:space="preserve"> me.</w:t>
            </w:r>
          </w:p>
        </w:tc>
        <w:tc>
          <w:tcPr>
            <w:tcW w:w="1935" w:type="dxa"/>
            <w:tcBorders>
              <w:top w:val="nil"/>
              <w:left w:val="nil"/>
              <w:bottom w:val="nil"/>
              <w:right w:val="nil"/>
            </w:tcBorders>
            <w:vAlign w:val="bottom"/>
          </w:tcPr>
          <w:p w14:paraId="40B0F562" w14:textId="77777777" w:rsidR="0077669B" w:rsidRPr="00400035" w:rsidRDefault="0007189A" w:rsidP="00E70436">
            <w:pPr>
              <w:widowControl w:val="0"/>
              <w:spacing w:line="480" w:lineRule="auto"/>
              <w:jc w:val="center"/>
              <w:rPr>
                <w:rFonts w:ascii="Times New Roman" w:hAnsi="Times New Roman" w:cs="Times New Roman"/>
                <w:sz w:val="24"/>
                <w:szCs w:val="24"/>
              </w:rPr>
            </w:pPr>
            <w:r w:rsidRPr="00400035">
              <w:rPr>
                <w:rFonts w:ascii="Times New Roman" w:hAnsi="Times New Roman" w:cs="Times New Roman"/>
                <w:sz w:val="24"/>
                <w:szCs w:val="24"/>
              </w:rPr>
              <w:t>.76</w:t>
            </w:r>
            <w:r w:rsidR="00242867" w:rsidRPr="00400035">
              <w:rPr>
                <w:rFonts w:ascii="Times New Roman" w:hAnsi="Times New Roman" w:cs="Times New Roman"/>
                <w:sz w:val="24"/>
                <w:szCs w:val="24"/>
              </w:rPr>
              <w:t>0</w:t>
            </w:r>
          </w:p>
        </w:tc>
        <w:tc>
          <w:tcPr>
            <w:tcW w:w="1935" w:type="dxa"/>
            <w:tcBorders>
              <w:top w:val="nil"/>
              <w:left w:val="nil"/>
              <w:bottom w:val="nil"/>
            </w:tcBorders>
            <w:vAlign w:val="bottom"/>
          </w:tcPr>
          <w:p w14:paraId="5FC28AE3" w14:textId="77777777" w:rsidR="0077669B" w:rsidRPr="00400035" w:rsidRDefault="0007189A" w:rsidP="00E70436">
            <w:pPr>
              <w:widowControl w:val="0"/>
              <w:spacing w:line="480" w:lineRule="auto"/>
              <w:jc w:val="center"/>
              <w:rPr>
                <w:rFonts w:ascii="Times New Roman" w:hAnsi="Times New Roman" w:cs="Times New Roman"/>
                <w:sz w:val="24"/>
                <w:szCs w:val="24"/>
              </w:rPr>
            </w:pPr>
            <w:r w:rsidRPr="00400035">
              <w:rPr>
                <w:rFonts w:ascii="Times New Roman" w:hAnsi="Times New Roman" w:cs="Times New Roman"/>
                <w:sz w:val="24"/>
                <w:szCs w:val="24"/>
              </w:rPr>
              <w:t>.4</w:t>
            </w:r>
            <w:r w:rsidR="00242867" w:rsidRPr="00400035">
              <w:rPr>
                <w:rFonts w:ascii="Times New Roman" w:hAnsi="Times New Roman" w:cs="Times New Roman"/>
                <w:sz w:val="24"/>
                <w:szCs w:val="24"/>
              </w:rPr>
              <w:t>68</w:t>
            </w:r>
          </w:p>
        </w:tc>
      </w:tr>
      <w:tr w:rsidR="0077669B" w:rsidRPr="00C62078" w14:paraId="5E54AD0E" w14:textId="77777777" w:rsidTr="003779CE">
        <w:tc>
          <w:tcPr>
            <w:tcW w:w="5490" w:type="dxa"/>
            <w:tcBorders>
              <w:top w:val="nil"/>
              <w:bottom w:val="nil"/>
              <w:right w:val="nil"/>
            </w:tcBorders>
          </w:tcPr>
          <w:p w14:paraId="3ABE27F1" w14:textId="1A94CE3D" w:rsidR="0077669B" w:rsidRPr="00C62078" w:rsidRDefault="00242867" w:rsidP="00E70436">
            <w:pPr>
              <w:widowControl w:val="0"/>
              <w:spacing w:line="480" w:lineRule="auto"/>
              <w:rPr>
                <w:rFonts w:ascii="Times New Roman" w:hAnsi="Times New Roman" w:cs="Times New Roman"/>
                <w:sz w:val="24"/>
                <w:szCs w:val="24"/>
              </w:rPr>
            </w:pPr>
            <w:r w:rsidRPr="00242867">
              <w:rPr>
                <w:rFonts w:ascii="Times New Roman" w:hAnsi="Times New Roman" w:cs="Times New Roman"/>
                <w:sz w:val="24"/>
                <w:szCs w:val="24"/>
              </w:rPr>
              <w:t>[Role model] is likable.</w:t>
            </w:r>
          </w:p>
        </w:tc>
        <w:tc>
          <w:tcPr>
            <w:tcW w:w="1935" w:type="dxa"/>
            <w:tcBorders>
              <w:top w:val="nil"/>
              <w:left w:val="nil"/>
              <w:bottom w:val="nil"/>
              <w:right w:val="nil"/>
            </w:tcBorders>
            <w:vAlign w:val="bottom"/>
          </w:tcPr>
          <w:p w14:paraId="2C0F1906" w14:textId="77777777" w:rsidR="0077669B" w:rsidRPr="00400035" w:rsidRDefault="0007189A" w:rsidP="00E70436">
            <w:pPr>
              <w:widowControl w:val="0"/>
              <w:spacing w:line="480" w:lineRule="auto"/>
              <w:jc w:val="center"/>
              <w:rPr>
                <w:rFonts w:ascii="Times New Roman" w:hAnsi="Times New Roman" w:cs="Times New Roman"/>
                <w:sz w:val="24"/>
                <w:szCs w:val="24"/>
              </w:rPr>
            </w:pPr>
            <w:r w:rsidRPr="00400035">
              <w:rPr>
                <w:rFonts w:ascii="Times New Roman" w:hAnsi="Times New Roman" w:cs="Times New Roman"/>
                <w:sz w:val="24"/>
                <w:szCs w:val="24"/>
              </w:rPr>
              <w:t>.6</w:t>
            </w:r>
            <w:r w:rsidR="00242867" w:rsidRPr="00400035">
              <w:rPr>
                <w:rFonts w:ascii="Times New Roman" w:hAnsi="Times New Roman" w:cs="Times New Roman"/>
                <w:sz w:val="24"/>
                <w:szCs w:val="24"/>
              </w:rPr>
              <w:t>82</w:t>
            </w:r>
          </w:p>
        </w:tc>
        <w:tc>
          <w:tcPr>
            <w:tcW w:w="1935" w:type="dxa"/>
            <w:tcBorders>
              <w:top w:val="nil"/>
              <w:left w:val="nil"/>
              <w:bottom w:val="nil"/>
            </w:tcBorders>
            <w:vAlign w:val="bottom"/>
          </w:tcPr>
          <w:p w14:paraId="5A3FD82A" w14:textId="77777777" w:rsidR="0077669B" w:rsidRPr="00400035" w:rsidRDefault="00242867" w:rsidP="00E70436">
            <w:pPr>
              <w:widowControl w:val="0"/>
              <w:spacing w:line="480" w:lineRule="auto"/>
              <w:jc w:val="center"/>
              <w:rPr>
                <w:rFonts w:ascii="Times New Roman" w:hAnsi="Times New Roman" w:cs="Times New Roman"/>
                <w:sz w:val="24"/>
                <w:szCs w:val="24"/>
              </w:rPr>
            </w:pPr>
            <w:r w:rsidRPr="00400035">
              <w:rPr>
                <w:rFonts w:ascii="Times New Roman" w:hAnsi="Times New Roman" w:cs="Times New Roman"/>
                <w:sz w:val="24"/>
                <w:szCs w:val="24"/>
              </w:rPr>
              <w:t>-</w:t>
            </w:r>
            <w:r w:rsidR="0007189A" w:rsidRPr="00400035">
              <w:rPr>
                <w:rFonts w:ascii="Times New Roman" w:hAnsi="Times New Roman" w:cs="Times New Roman"/>
                <w:sz w:val="24"/>
                <w:szCs w:val="24"/>
              </w:rPr>
              <w:t>.</w:t>
            </w:r>
            <w:r w:rsidRPr="00400035">
              <w:rPr>
                <w:rFonts w:ascii="Times New Roman" w:hAnsi="Times New Roman" w:cs="Times New Roman"/>
                <w:sz w:val="24"/>
                <w:szCs w:val="24"/>
              </w:rPr>
              <w:t>535</w:t>
            </w:r>
          </w:p>
        </w:tc>
      </w:tr>
      <w:tr w:rsidR="0077669B" w:rsidRPr="00C62078" w14:paraId="3A169072" w14:textId="77777777" w:rsidTr="003779CE">
        <w:tc>
          <w:tcPr>
            <w:tcW w:w="5490" w:type="dxa"/>
            <w:tcBorders>
              <w:top w:val="nil"/>
              <w:bottom w:val="nil"/>
              <w:right w:val="nil"/>
            </w:tcBorders>
          </w:tcPr>
          <w:p w14:paraId="717FDE34" w14:textId="77777777" w:rsidR="0077669B" w:rsidRPr="00AA2A4C" w:rsidRDefault="00242867" w:rsidP="00E70436">
            <w:pPr>
              <w:widowControl w:val="0"/>
              <w:spacing w:line="480" w:lineRule="auto"/>
              <w:rPr>
                <w:rFonts w:ascii="Times New Roman" w:hAnsi="Times New Roman" w:cs="Times New Roman"/>
                <w:sz w:val="24"/>
              </w:rPr>
            </w:pPr>
            <w:r w:rsidRPr="00242867">
              <w:rPr>
                <w:rFonts w:ascii="Times New Roman" w:hAnsi="Times New Roman" w:cs="Times New Roman"/>
                <w:sz w:val="24"/>
              </w:rPr>
              <w:t xml:space="preserve">I feel different from [role model]. </w:t>
            </w:r>
            <w:r>
              <w:rPr>
                <w:rFonts w:ascii="Times New Roman" w:hAnsi="Times New Roman" w:cs="Times New Roman"/>
                <w:sz w:val="24"/>
              </w:rPr>
              <w:t>(reverse coded)</w:t>
            </w:r>
          </w:p>
        </w:tc>
        <w:tc>
          <w:tcPr>
            <w:tcW w:w="1935" w:type="dxa"/>
            <w:tcBorders>
              <w:top w:val="nil"/>
              <w:left w:val="nil"/>
              <w:bottom w:val="nil"/>
              <w:right w:val="nil"/>
            </w:tcBorders>
            <w:vAlign w:val="bottom"/>
          </w:tcPr>
          <w:p w14:paraId="517C7537" w14:textId="77777777" w:rsidR="0077669B" w:rsidRPr="00400035" w:rsidRDefault="0007189A" w:rsidP="00E70436">
            <w:pPr>
              <w:widowControl w:val="0"/>
              <w:spacing w:line="480" w:lineRule="auto"/>
              <w:jc w:val="center"/>
              <w:rPr>
                <w:rFonts w:ascii="Times New Roman" w:hAnsi="Times New Roman" w:cs="Times New Roman"/>
                <w:sz w:val="24"/>
                <w:szCs w:val="24"/>
              </w:rPr>
            </w:pPr>
            <w:r w:rsidRPr="00400035">
              <w:rPr>
                <w:rFonts w:ascii="Times New Roman" w:hAnsi="Times New Roman" w:cs="Times New Roman"/>
                <w:sz w:val="24"/>
                <w:szCs w:val="24"/>
              </w:rPr>
              <w:t>.6</w:t>
            </w:r>
            <w:r w:rsidR="00242867" w:rsidRPr="00400035">
              <w:rPr>
                <w:rFonts w:ascii="Times New Roman" w:hAnsi="Times New Roman" w:cs="Times New Roman"/>
                <w:sz w:val="24"/>
                <w:szCs w:val="24"/>
              </w:rPr>
              <w:t>78</w:t>
            </w:r>
          </w:p>
        </w:tc>
        <w:tc>
          <w:tcPr>
            <w:tcW w:w="1935" w:type="dxa"/>
            <w:tcBorders>
              <w:top w:val="nil"/>
              <w:left w:val="nil"/>
              <w:bottom w:val="nil"/>
            </w:tcBorders>
            <w:vAlign w:val="bottom"/>
          </w:tcPr>
          <w:p w14:paraId="2EA9906E" w14:textId="77777777" w:rsidR="0077669B" w:rsidRPr="00400035" w:rsidRDefault="0007189A" w:rsidP="00E70436">
            <w:pPr>
              <w:widowControl w:val="0"/>
              <w:spacing w:line="480" w:lineRule="auto"/>
              <w:jc w:val="center"/>
              <w:rPr>
                <w:rFonts w:ascii="Times New Roman" w:hAnsi="Times New Roman" w:cs="Times New Roman"/>
                <w:sz w:val="24"/>
                <w:szCs w:val="24"/>
              </w:rPr>
            </w:pPr>
            <w:r w:rsidRPr="00400035">
              <w:rPr>
                <w:rFonts w:ascii="Times New Roman" w:hAnsi="Times New Roman" w:cs="Times New Roman"/>
                <w:sz w:val="24"/>
                <w:szCs w:val="24"/>
              </w:rPr>
              <w:t>.</w:t>
            </w:r>
            <w:r w:rsidR="00242867" w:rsidRPr="00400035">
              <w:rPr>
                <w:rFonts w:ascii="Times New Roman" w:hAnsi="Times New Roman" w:cs="Times New Roman"/>
                <w:sz w:val="24"/>
                <w:szCs w:val="24"/>
              </w:rPr>
              <w:t>469</w:t>
            </w:r>
          </w:p>
        </w:tc>
      </w:tr>
      <w:tr w:rsidR="0077669B" w:rsidRPr="00C62078" w14:paraId="209761E6" w14:textId="77777777" w:rsidTr="003779CE">
        <w:tc>
          <w:tcPr>
            <w:tcW w:w="5490" w:type="dxa"/>
            <w:tcBorders>
              <w:top w:val="nil"/>
              <w:bottom w:val="nil"/>
              <w:right w:val="nil"/>
            </w:tcBorders>
          </w:tcPr>
          <w:p w14:paraId="0EB04001" w14:textId="77777777" w:rsidR="0077669B" w:rsidRPr="00C62078" w:rsidRDefault="0007189A" w:rsidP="00E70436">
            <w:pPr>
              <w:widowControl w:val="0"/>
              <w:spacing w:line="480" w:lineRule="auto"/>
              <w:rPr>
                <w:rFonts w:ascii="Times New Roman" w:hAnsi="Times New Roman" w:cs="Times New Roman"/>
                <w:sz w:val="24"/>
                <w:szCs w:val="24"/>
              </w:rPr>
            </w:pPr>
            <w:r>
              <w:rPr>
                <w:rFonts w:ascii="Times New Roman" w:hAnsi="Times New Roman" w:cs="Times New Roman"/>
                <w:sz w:val="24"/>
                <w:szCs w:val="24"/>
              </w:rPr>
              <w:t>[Role model] is competent.</w:t>
            </w:r>
          </w:p>
        </w:tc>
        <w:tc>
          <w:tcPr>
            <w:tcW w:w="1935" w:type="dxa"/>
            <w:tcBorders>
              <w:top w:val="nil"/>
              <w:left w:val="nil"/>
              <w:bottom w:val="nil"/>
              <w:right w:val="nil"/>
            </w:tcBorders>
            <w:vAlign w:val="bottom"/>
          </w:tcPr>
          <w:p w14:paraId="1A9430FF" w14:textId="77777777" w:rsidR="0077669B" w:rsidRPr="00400035" w:rsidRDefault="0007189A" w:rsidP="00E70436">
            <w:pPr>
              <w:widowControl w:val="0"/>
              <w:spacing w:line="480" w:lineRule="auto"/>
              <w:jc w:val="center"/>
              <w:rPr>
                <w:rFonts w:ascii="Times New Roman" w:hAnsi="Times New Roman" w:cs="Times New Roman"/>
                <w:sz w:val="24"/>
                <w:szCs w:val="24"/>
              </w:rPr>
            </w:pPr>
            <w:r w:rsidRPr="00400035">
              <w:rPr>
                <w:rFonts w:ascii="Times New Roman" w:hAnsi="Times New Roman" w:cs="Times New Roman"/>
                <w:sz w:val="24"/>
                <w:szCs w:val="24"/>
              </w:rPr>
              <w:t>.6</w:t>
            </w:r>
            <w:r w:rsidR="00242867" w:rsidRPr="00400035">
              <w:rPr>
                <w:rFonts w:ascii="Times New Roman" w:hAnsi="Times New Roman" w:cs="Times New Roman"/>
                <w:sz w:val="24"/>
                <w:szCs w:val="24"/>
              </w:rPr>
              <w:t>53</w:t>
            </w:r>
          </w:p>
        </w:tc>
        <w:tc>
          <w:tcPr>
            <w:tcW w:w="1935" w:type="dxa"/>
            <w:tcBorders>
              <w:top w:val="nil"/>
              <w:left w:val="nil"/>
              <w:bottom w:val="nil"/>
            </w:tcBorders>
            <w:vAlign w:val="bottom"/>
          </w:tcPr>
          <w:p w14:paraId="422856D1" w14:textId="77777777" w:rsidR="0077669B" w:rsidRPr="00400035" w:rsidRDefault="0007189A" w:rsidP="00E70436">
            <w:pPr>
              <w:widowControl w:val="0"/>
              <w:spacing w:line="480" w:lineRule="auto"/>
              <w:jc w:val="center"/>
              <w:rPr>
                <w:rFonts w:ascii="Times New Roman" w:hAnsi="Times New Roman" w:cs="Times New Roman"/>
                <w:sz w:val="24"/>
                <w:szCs w:val="24"/>
              </w:rPr>
            </w:pPr>
            <w:r w:rsidRPr="00400035">
              <w:rPr>
                <w:rFonts w:ascii="Times New Roman" w:hAnsi="Times New Roman" w:cs="Times New Roman"/>
                <w:sz w:val="24"/>
                <w:szCs w:val="24"/>
              </w:rPr>
              <w:t>-.59</w:t>
            </w:r>
            <w:r w:rsidR="00242867" w:rsidRPr="00400035">
              <w:rPr>
                <w:rFonts w:ascii="Times New Roman" w:hAnsi="Times New Roman" w:cs="Times New Roman"/>
                <w:sz w:val="24"/>
                <w:szCs w:val="24"/>
              </w:rPr>
              <w:t>9</w:t>
            </w:r>
          </w:p>
        </w:tc>
      </w:tr>
      <w:tr w:rsidR="0077669B" w:rsidRPr="00C62078" w14:paraId="6A072DF7" w14:textId="77777777" w:rsidTr="003779CE">
        <w:tc>
          <w:tcPr>
            <w:tcW w:w="5490" w:type="dxa"/>
            <w:tcBorders>
              <w:top w:val="nil"/>
              <w:bottom w:val="single" w:sz="4" w:space="0" w:color="auto"/>
              <w:right w:val="nil"/>
            </w:tcBorders>
          </w:tcPr>
          <w:p w14:paraId="6A938374" w14:textId="77777777" w:rsidR="0077669B" w:rsidRPr="00C62078" w:rsidRDefault="0007189A" w:rsidP="00E70436">
            <w:pPr>
              <w:widowControl w:val="0"/>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[Role model]’s life is desirable.</w:t>
            </w:r>
          </w:p>
        </w:tc>
        <w:tc>
          <w:tcPr>
            <w:tcW w:w="1935" w:type="dxa"/>
            <w:tcBorders>
              <w:top w:val="nil"/>
              <w:left w:val="nil"/>
              <w:bottom w:val="single" w:sz="4" w:space="0" w:color="auto"/>
              <w:right w:val="nil"/>
            </w:tcBorders>
            <w:vAlign w:val="bottom"/>
          </w:tcPr>
          <w:p w14:paraId="3826DD3F" w14:textId="77777777" w:rsidR="0077669B" w:rsidRPr="00400035" w:rsidRDefault="0007189A" w:rsidP="00E70436">
            <w:pPr>
              <w:widowControl w:val="0"/>
              <w:spacing w:line="480" w:lineRule="auto"/>
              <w:jc w:val="center"/>
              <w:rPr>
                <w:rFonts w:ascii="Times New Roman" w:hAnsi="Times New Roman" w:cs="Times New Roman"/>
                <w:sz w:val="24"/>
                <w:szCs w:val="24"/>
              </w:rPr>
            </w:pPr>
            <w:r w:rsidRPr="00400035">
              <w:rPr>
                <w:rFonts w:ascii="Times New Roman" w:hAnsi="Times New Roman" w:cs="Times New Roman"/>
                <w:sz w:val="24"/>
                <w:szCs w:val="24"/>
              </w:rPr>
              <w:t>.5</w:t>
            </w:r>
            <w:r w:rsidR="00242867" w:rsidRPr="00400035">
              <w:rPr>
                <w:rFonts w:ascii="Times New Roman" w:hAnsi="Times New Roman" w:cs="Times New Roman"/>
                <w:sz w:val="24"/>
                <w:szCs w:val="24"/>
              </w:rPr>
              <w:t>41</w:t>
            </w:r>
          </w:p>
        </w:tc>
        <w:tc>
          <w:tcPr>
            <w:tcW w:w="1935" w:type="dxa"/>
            <w:tcBorders>
              <w:top w:val="nil"/>
              <w:left w:val="nil"/>
              <w:bottom w:val="single" w:sz="4" w:space="0" w:color="auto"/>
            </w:tcBorders>
            <w:vAlign w:val="bottom"/>
          </w:tcPr>
          <w:p w14:paraId="46028723" w14:textId="77777777" w:rsidR="0077669B" w:rsidRPr="00400035" w:rsidRDefault="0007189A" w:rsidP="00E70436">
            <w:pPr>
              <w:widowControl w:val="0"/>
              <w:spacing w:line="480" w:lineRule="auto"/>
              <w:jc w:val="center"/>
              <w:rPr>
                <w:rFonts w:ascii="Times New Roman" w:hAnsi="Times New Roman" w:cs="Times New Roman"/>
                <w:sz w:val="24"/>
                <w:szCs w:val="24"/>
              </w:rPr>
            </w:pPr>
            <w:r w:rsidRPr="00400035">
              <w:rPr>
                <w:rFonts w:ascii="Times New Roman" w:hAnsi="Times New Roman" w:cs="Times New Roman"/>
                <w:sz w:val="24"/>
                <w:szCs w:val="24"/>
              </w:rPr>
              <w:t>.58</w:t>
            </w:r>
            <w:r w:rsidR="00242867" w:rsidRPr="00400035">
              <w:rPr>
                <w:rFonts w:ascii="Times New Roman" w:hAnsi="Times New Roman" w:cs="Times New Roman"/>
                <w:sz w:val="24"/>
                <w:szCs w:val="24"/>
              </w:rPr>
              <w:t>9</w:t>
            </w:r>
          </w:p>
        </w:tc>
      </w:tr>
    </w:tbl>
    <w:p w14:paraId="307B5E48" w14:textId="77777777" w:rsidR="0007189A" w:rsidRPr="00C62078" w:rsidRDefault="0077669B" w:rsidP="00E70436">
      <w:pPr>
        <w:widowControl w:val="0"/>
      </w:pPr>
      <w:r w:rsidRPr="00C62078">
        <w:rPr>
          <w:i/>
        </w:rPr>
        <w:t>Note</w:t>
      </w:r>
      <w:r w:rsidRPr="00C62078">
        <w:t>.</w:t>
      </w:r>
      <w:r w:rsidR="0007189A">
        <w:t xml:space="preserve"> Asterisks denote items that </w:t>
      </w:r>
      <w:r w:rsidR="00242867">
        <w:t>were included in the self-inspiration scale</w:t>
      </w:r>
      <w:r w:rsidR="0007189A">
        <w:t>.</w:t>
      </w:r>
    </w:p>
    <w:p w14:paraId="07DCCC2C" w14:textId="77777777" w:rsidR="0077669B" w:rsidRDefault="0077669B" w:rsidP="00E70436">
      <w:pPr>
        <w:widowControl w:val="0"/>
      </w:pPr>
      <w:r>
        <w:br w:type="page"/>
      </w:r>
    </w:p>
    <w:tbl>
      <w:tblPr>
        <w:tblW w:w="9546" w:type="dxa"/>
        <w:tblLayout w:type="fixed"/>
        <w:tblLook w:val="04A0" w:firstRow="1" w:lastRow="0" w:firstColumn="1" w:lastColumn="0" w:noHBand="0" w:noVBand="1"/>
      </w:tblPr>
      <w:tblGrid>
        <w:gridCol w:w="3982"/>
        <w:gridCol w:w="927"/>
        <w:gridCol w:w="311"/>
        <w:gridCol w:w="616"/>
        <w:gridCol w:w="374"/>
        <w:gridCol w:w="554"/>
        <w:gridCol w:w="616"/>
        <w:gridCol w:w="311"/>
        <w:gridCol w:w="673"/>
        <w:gridCol w:w="6"/>
        <w:gridCol w:w="248"/>
        <w:gridCol w:w="266"/>
        <w:gridCol w:w="6"/>
        <w:gridCol w:w="514"/>
        <w:gridCol w:w="6"/>
        <w:gridCol w:w="136"/>
      </w:tblGrid>
      <w:tr w:rsidR="00C2201F" w:rsidRPr="00E56D0A" w14:paraId="0781FE03" w14:textId="77777777" w:rsidTr="00C2201F">
        <w:trPr>
          <w:gridAfter w:val="1"/>
          <w:wAfter w:w="136" w:type="dxa"/>
          <w:trHeight w:val="312"/>
        </w:trPr>
        <w:tc>
          <w:tcPr>
            <w:tcW w:w="3982" w:type="dxa"/>
            <w:tcBorders>
              <w:top w:val="nil"/>
              <w:left w:val="nil"/>
              <w:bottom w:val="nil"/>
              <w:right w:val="nil"/>
            </w:tcBorders>
            <w:shd w:val="clear" w:color="auto" w:fill="auto"/>
            <w:noWrap/>
            <w:vAlign w:val="bottom"/>
            <w:hideMark/>
          </w:tcPr>
          <w:p w14:paraId="3C91698F" w14:textId="77777777" w:rsidR="00C2201F" w:rsidRPr="00E56D0A" w:rsidRDefault="00C2201F" w:rsidP="00E70436">
            <w:pPr>
              <w:widowControl w:val="0"/>
              <w:rPr>
                <w:rFonts w:eastAsia="Times New Roman"/>
                <w:color w:val="000000"/>
              </w:rPr>
            </w:pPr>
            <w:r>
              <w:rPr>
                <w:rFonts w:eastAsia="Times New Roman"/>
                <w:color w:val="000000"/>
              </w:rPr>
              <w:lastRenderedPageBreak/>
              <w:t xml:space="preserve">Table </w:t>
            </w:r>
            <w:r w:rsidR="00350A7B">
              <w:rPr>
                <w:rFonts w:eastAsia="Times New Roman"/>
                <w:color w:val="000000"/>
              </w:rPr>
              <w:t>3</w:t>
            </w:r>
          </w:p>
        </w:tc>
        <w:tc>
          <w:tcPr>
            <w:tcW w:w="1238" w:type="dxa"/>
            <w:gridSpan w:val="2"/>
            <w:tcBorders>
              <w:top w:val="nil"/>
              <w:left w:val="nil"/>
              <w:bottom w:val="nil"/>
              <w:right w:val="nil"/>
            </w:tcBorders>
            <w:shd w:val="clear" w:color="auto" w:fill="auto"/>
            <w:noWrap/>
            <w:vAlign w:val="bottom"/>
            <w:hideMark/>
          </w:tcPr>
          <w:p w14:paraId="318B67EB" w14:textId="77777777" w:rsidR="00C2201F" w:rsidRPr="00E56D0A" w:rsidRDefault="00C2201F" w:rsidP="00E70436">
            <w:pPr>
              <w:widowControl w:val="0"/>
              <w:rPr>
                <w:rFonts w:eastAsia="Times New Roman"/>
                <w:color w:val="000000"/>
              </w:rPr>
            </w:pPr>
          </w:p>
        </w:tc>
        <w:tc>
          <w:tcPr>
            <w:tcW w:w="990" w:type="dxa"/>
            <w:gridSpan w:val="2"/>
            <w:tcBorders>
              <w:top w:val="nil"/>
              <w:left w:val="nil"/>
              <w:bottom w:val="nil"/>
              <w:right w:val="nil"/>
            </w:tcBorders>
            <w:shd w:val="clear" w:color="auto" w:fill="auto"/>
            <w:noWrap/>
            <w:vAlign w:val="bottom"/>
            <w:hideMark/>
          </w:tcPr>
          <w:p w14:paraId="4C1E7B76" w14:textId="77777777" w:rsidR="00C2201F" w:rsidRPr="00E56D0A" w:rsidRDefault="00C2201F" w:rsidP="00E70436">
            <w:pPr>
              <w:widowControl w:val="0"/>
              <w:rPr>
                <w:rFonts w:eastAsia="Times New Roman"/>
                <w:sz w:val="20"/>
                <w:szCs w:val="20"/>
              </w:rPr>
            </w:pPr>
          </w:p>
        </w:tc>
        <w:tc>
          <w:tcPr>
            <w:tcW w:w="1170" w:type="dxa"/>
            <w:gridSpan w:val="2"/>
            <w:tcBorders>
              <w:top w:val="nil"/>
              <w:left w:val="nil"/>
              <w:bottom w:val="nil"/>
              <w:right w:val="nil"/>
            </w:tcBorders>
            <w:shd w:val="clear" w:color="auto" w:fill="auto"/>
            <w:noWrap/>
            <w:vAlign w:val="bottom"/>
            <w:hideMark/>
          </w:tcPr>
          <w:p w14:paraId="48733695" w14:textId="77777777" w:rsidR="00C2201F" w:rsidRPr="00E56D0A" w:rsidRDefault="00C2201F" w:rsidP="00E70436">
            <w:pPr>
              <w:widowControl w:val="0"/>
              <w:rPr>
                <w:rFonts w:eastAsia="Times New Roman"/>
                <w:sz w:val="20"/>
                <w:szCs w:val="20"/>
              </w:rPr>
            </w:pPr>
          </w:p>
        </w:tc>
        <w:tc>
          <w:tcPr>
            <w:tcW w:w="990" w:type="dxa"/>
            <w:gridSpan w:val="3"/>
            <w:tcBorders>
              <w:top w:val="nil"/>
              <w:left w:val="nil"/>
              <w:bottom w:val="nil"/>
              <w:right w:val="nil"/>
            </w:tcBorders>
            <w:shd w:val="clear" w:color="auto" w:fill="auto"/>
            <w:noWrap/>
            <w:vAlign w:val="bottom"/>
            <w:hideMark/>
          </w:tcPr>
          <w:p w14:paraId="0701CE5F" w14:textId="77777777" w:rsidR="00C2201F" w:rsidRPr="00E56D0A" w:rsidRDefault="00C2201F" w:rsidP="00E70436">
            <w:pPr>
              <w:widowControl w:val="0"/>
              <w:rPr>
                <w:rFonts w:eastAsia="Times New Roman"/>
                <w:sz w:val="20"/>
                <w:szCs w:val="20"/>
              </w:rPr>
            </w:pPr>
          </w:p>
        </w:tc>
        <w:tc>
          <w:tcPr>
            <w:tcW w:w="520" w:type="dxa"/>
            <w:gridSpan w:val="3"/>
            <w:tcBorders>
              <w:top w:val="nil"/>
              <w:left w:val="nil"/>
              <w:bottom w:val="nil"/>
              <w:right w:val="nil"/>
            </w:tcBorders>
          </w:tcPr>
          <w:p w14:paraId="6B56B6A0" w14:textId="77777777" w:rsidR="00C2201F" w:rsidRPr="00E56D0A" w:rsidRDefault="00C2201F" w:rsidP="00E70436">
            <w:pPr>
              <w:widowControl w:val="0"/>
              <w:rPr>
                <w:rFonts w:eastAsia="Times New Roman"/>
                <w:sz w:val="20"/>
                <w:szCs w:val="20"/>
              </w:rPr>
            </w:pPr>
          </w:p>
        </w:tc>
        <w:tc>
          <w:tcPr>
            <w:tcW w:w="520" w:type="dxa"/>
            <w:gridSpan w:val="2"/>
            <w:tcBorders>
              <w:top w:val="nil"/>
              <w:left w:val="nil"/>
              <w:bottom w:val="nil"/>
              <w:right w:val="nil"/>
            </w:tcBorders>
          </w:tcPr>
          <w:p w14:paraId="78A90717" w14:textId="77777777" w:rsidR="00C2201F" w:rsidRPr="00E56D0A" w:rsidRDefault="00C2201F" w:rsidP="00E70436">
            <w:pPr>
              <w:widowControl w:val="0"/>
              <w:rPr>
                <w:rFonts w:eastAsia="Times New Roman"/>
                <w:sz w:val="20"/>
                <w:szCs w:val="20"/>
              </w:rPr>
            </w:pPr>
          </w:p>
        </w:tc>
      </w:tr>
      <w:tr w:rsidR="00C2201F" w:rsidRPr="00E56D0A" w14:paraId="1AEA35DD" w14:textId="77777777" w:rsidTr="00C2201F">
        <w:trPr>
          <w:gridAfter w:val="2"/>
          <w:wAfter w:w="142" w:type="dxa"/>
          <w:trHeight w:val="312"/>
        </w:trPr>
        <w:tc>
          <w:tcPr>
            <w:tcW w:w="8364" w:type="dxa"/>
            <w:gridSpan w:val="9"/>
            <w:tcBorders>
              <w:top w:val="nil"/>
              <w:left w:val="nil"/>
              <w:right w:val="nil"/>
            </w:tcBorders>
            <w:shd w:val="clear" w:color="auto" w:fill="auto"/>
            <w:noWrap/>
            <w:vAlign w:val="bottom"/>
            <w:hideMark/>
          </w:tcPr>
          <w:p w14:paraId="20FA67EC" w14:textId="5C775741" w:rsidR="00C2201F" w:rsidRPr="00E56D0A" w:rsidRDefault="00C2201F" w:rsidP="00E70436">
            <w:pPr>
              <w:widowControl w:val="0"/>
              <w:rPr>
                <w:rFonts w:eastAsia="Times New Roman"/>
                <w:i/>
                <w:iCs/>
                <w:color w:val="000000"/>
              </w:rPr>
            </w:pPr>
            <w:r>
              <w:rPr>
                <w:rFonts w:eastAsia="Times New Roman"/>
                <w:i/>
                <w:iCs/>
                <w:color w:val="000000"/>
              </w:rPr>
              <w:t xml:space="preserve">Bivariate </w:t>
            </w:r>
            <w:r w:rsidR="00117F08">
              <w:rPr>
                <w:rFonts w:eastAsia="Times New Roman"/>
                <w:i/>
                <w:iCs/>
                <w:color w:val="000000"/>
              </w:rPr>
              <w:t>C</w:t>
            </w:r>
            <w:r w:rsidRPr="00E56D0A">
              <w:rPr>
                <w:rFonts w:eastAsia="Times New Roman"/>
                <w:i/>
                <w:iCs/>
                <w:color w:val="000000"/>
              </w:rPr>
              <w:t>orrelation</w:t>
            </w:r>
            <w:r>
              <w:rPr>
                <w:rFonts w:eastAsia="Times New Roman"/>
                <w:i/>
                <w:iCs/>
                <w:color w:val="000000"/>
              </w:rPr>
              <w:t xml:space="preserve"> </w:t>
            </w:r>
            <w:r w:rsidR="00117F08">
              <w:rPr>
                <w:rFonts w:eastAsia="Times New Roman"/>
                <w:i/>
                <w:iCs/>
                <w:color w:val="000000"/>
              </w:rPr>
              <w:t>C</w:t>
            </w:r>
            <w:r>
              <w:rPr>
                <w:rFonts w:eastAsia="Times New Roman"/>
                <w:i/>
                <w:iCs/>
                <w:color w:val="000000"/>
              </w:rPr>
              <w:t>oefficients</w:t>
            </w:r>
            <w:r w:rsidRPr="00E56D0A">
              <w:rPr>
                <w:rFonts w:eastAsia="Times New Roman"/>
                <w:i/>
                <w:iCs/>
                <w:color w:val="000000"/>
              </w:rPr>
              <w:t xml:space="preserve"> between </w:t>
            </w:r>
            <w:r w:rsidR="00117F08">
              <w:rPr>
                <w:rFonts w:eastAsia="Times New Roman"/>
                <w:i/>
                <w:iCs/>
                <w:color w:val="000000"/>
              </w:rPr>
              <w:t>V</w:t>
            </w:r>
            <w:r w:rsidRPr="00E56D0A">
              <w:rPr>
                <w:rFonts w:eastAsia="Times New Roman"/>
                <w:i/>
                <w:iCs/>
                <w:color w:val="000000"/>
              </w:rPr>
              <w:t>ariables</w:t>
            </w:r>
          </w:p>
        </w:tc>
        <w:tc>
          <w:tcPr>
            <w:tcW w:w="520" w:type="dxa"/>
            <w:gridSpan w:val="3"/>
            <w:tcBorders>
              <w:top w:val="nil"/>
              <w:left w:val="nil"/>
              <w:right w:val="nil"/>
            </w:tcBorders>
          </w:tcPr>
          <w:p w14:paraId="4171905E" w14:textId="77777777" w:rsidR="00C2201F" w:rsidRPr="00E56D0A" w:rsidRDefault="00C2201F" w:rsidP="00E70436">
            <w:pPr>
              <w:widowControl w:val="0"/>
              <w:rPr>
                <w:rFonts w:eastAsia="Times New Roman"/>
                <w:i/>
                <w:iCs/>
                <w:color w:val="000000"/>
              </w:rPr>
            </w:pPr>
          </w:p>
        </w:tc>
        <w:tc>
          <w:tcPr>
            <w:tcW w:w="520" w:type="dxa"/>
            <w:gridSpan w:val="2"/>
            <w:tcBorders>
              <w:top w:val="nil"/>
              <w:left w:val="nil"/>
              <w:right w:val="nil"/>
            </w:tcBorders>
          </w:tcPr>
          <w:p w14:paraId="3CBC3280" w14:textId="77777777" w:rsidR="00C2201F" w:rsidRPr="00E56D0A" w:rsidRDefault="00C2201F" w:rsidP="00E70436">
            <w:pPr>
              <w:widowControl w:val="0"/>
              <w:rPr>
                <w:rFonts w:eastAsia="Times New Roman"/>
                <w:i/>
                <w:iCs/>
                <w:color w:val="000000"/>
              </w:rPr>
            </w:pPr>
          </w:p>
        </w:tc>
      </w:tr>
      <w:tr w:rsidR="00C2201F" w14:paraId="175213EC" w14:textId="77777777" w:rsidTr="00C2201F">
        <w:trPr>
          <w:trHeight w:val="312"/>
        </w:trPr>
        <w:tc>
          <w:tcPr>
            <w:tcW w:w="3982" w:type="dxa"/>
            <w:tcBorders>
              <w:top w:val="single" w:sz="4" w:space="0" w:color="auto"/>
              <w:left w:val="nil"/>
              <w:bottom w:val="single" w:sz="4" w:space="0" w:color="auto"/>
              <w:right w:val="nil"/>
            </w:tcBorders>
            <w:shd w:val="clear" w:color="auto" w:fill="auto"/>
            <w:noWrap/>
            <w:vAlign w:val="bottom"/>
            <w:hideMark/>
          </w:tcPr>
          <w:p w14:paraId="26211F33" w14:textId="77777777" w:rsidR="00C2201F" w:rsidRPr="00E56D0A" w:rsidRDefault="00C2201F" w:rsidP="00E70436">
            <w:pPr>
              <w:widowControl w:val="0"/>
              <w:rPr>
                <w:rFonts w:eastAsia="Times New Roman"/>
                <w:color w:val="000000"/>
              </w:rPr>
            </w:pPr>
          </w:p>
        </w:tc>
        <w:tc>
          <w:tcPr>
            <w:tcW w:w="927" w:type="dxa"/>
            <w:tcBorders>
              <w:top w:val="single" w:sz="4" w:space="0" w:color="auto"/>
              <w:left w:val="nil"/>
              <w:bottom w:val="single" w:sz="4" w:space="0" w:color="auto"/>
              <w:right w:val="nil"/>
            </w:tcBorders>
            <w:shd w:val="clear" w:color="auto" w:fill="auto"/>
            <w:noWrap/>
            <w:vAlign w:val="center"/>
            <w:hideMark/>
          </w:tcPr>
          <w:p w14:paraId="5FB6BF0B" w14:textId="77777777" w:rsidR="00C2201F" w:rsidRPr="00E56D0A" w:rsidRDefault="00C2201F" w:rsidP="00E70436">
            <w:pPr>
              <w:widowControl w:val="0"/>
              <w:jc w:val="center"/>
              <w:rPr>
                <w:rFonts w:eastAsia="Times New Roman"/>
                <w:color w:val="000000"/>
              </w:rPr>
            </w:pPr>
            <w:r w:rsidRPr="00E56D0A">
              <w:rPr>
                <w:rFonts w:eastAsia="Times New Roman"/>
                <w:color w:val="000000"/>
              </w:rPr>
              <w:t>1</w:t>
            </w:r>
          </w:p>
        </w:tc>
        <w:tc>
          <w:tcPr>
            <w:tcW w:w="927" w:type="dxa"/>
            <w:gridSpan w:val="2"/>
            <w:tcBorders>
              <w:top w:val="single" w:sz="4" w:space="0" w:color="auto"/>
              <w:left w:val="nil"/>
              <w:bottom w:val="single" w:sz="4" w:space="0" w:color="auto"/>
              <w:right w:val="nil"/>
            </w:tcBorders>
            <w:shd w:val="clear" w:color="auto" w:fill="auto"/>
            <w:noWrap/>
            <w:vAlign w:val="center"/>
            <w:hideMark/>
          </w:tcPr>
          <w:p w14:paraId="00CBE8D5" w14:textId="77777777" w:rsidR="00C2201F" w:rsidRPr="00E56D0A" w:rsidRDefault="00C2201F" w:rsidP="00E70436">
            <w:pPr>
              <w:widowControl w:val="0"/>
              <w:jc w:val="center"/>
              <w:rPr>
                <w:rFonts w:eastAsia="Times New Roman"/>
                <w:color w:val="000000"/>
              </w:rPr>
            </w:pPr>
            <w:r w:rsidRPr="00E56D0A">
              <w:rPr>
                <w:rFonts w:eastAsia="Times New Roman"/>
                <w:color w:val="000000"/>
              </w:rPr>
              <w:t>2</w:t>
            </w:r>
          </w:p>
        </w:tc>
        <w:tc>
          <w:tcPr>
            <w:tcW w:w="928" w:type="dxa"/>
            <w:gridSpan w:val="2"/>
            <w:tcBorders>
              <w:top w:val="single" w:sz="4" w:space="0" w:color="auto"/>
              <w:left w:val="nil"/>
              <w:bottom w:val="single" w:sz="4" w:space="0" w:color="auto"/>
              <w:right w:val="nil"/>
            </w:tcBorders>
            <w:shd w:val="clear" w:color="auto" w:fill="auto"/>
            <w:noWrap/>
            <w:vAlign w:val="center"/>
            <w:hideMark/>
          </w:tcPr>
          <w:p w14:paraId="29AFF312" w14:textId="77777777" w:rsidR="00C2201F" w:rsidRPr="00E56D0A" w:rsidRDefault="00C2201F" w:rsidP="00E70436">
            <w:pPr>
              <w:widowControl w:val="0"/>
              <w:jc w:val="center"/>
              <w:rPr>
                <w:rFonts w:eastAsia="Times New Roman"/>
                <w:color w:val="000000"/>
              </w:rPr>
            </w:pPr>
            <w:r w:rsidRPr="00E56D0A">
              <w:rPr>
                <w:rFonts w:eastAsia="Times New Roman"/>
                <w:color w:val="000000"/>
              </w:rPr>
              <w:t>3</w:t>
            </w:r>
          </w:p>
        </w:tc>
        <w:tc>
          <w:tcPr>
            <w:tcW w:w="927" w:type="dxa"/>
            <w:gridSpan w:val="2"/>
            <w:tcBorders>
              <w:top w:val="single" w:sz="4" w:space="0" w:color="auto"/>
              <w:left w:val="nil"/>
              <w:bottom w:val="single" w:sz="4" w:space="0" w:color="auto"/>
              <w:right w:val="nil"/>
            </w:tcBorders>
            <w:shd w:val="clear" w:color="auto" w:fill="auto"/>
            <w:noWrap/>
            <w:vAlign w:val="center"/>
            <w:hideMark/>
          </w:tcPr>
          <w:p w14:paraId="5E0CBC26" w14:textId="77777777" w:rsidR="00C2201F" w:rsidRPr="00E56D0A" w:rsidRDefault="00C2201F" w:rsidP="00E70436">
            <w:pPr>
              <w:widowControl w:val="0"/>
              <w:jc w:val="center"/>
              <w:rPr>
                <w:rFonts w:eastAsia="Times New Roman"/>
                <w:color w:val="000000"/>
              </w:rPr>
            </w:pPr>
            <w:r w:rsidRPr="00E56D0A">
              <w:rPr>
                <w:rFonts w:eastAsia="Times New Roman"/>
                <w:color w:val="000000"/>
              </w:rPr>
              <w:t>4</w:t>
            </w:r>
          </w:p>
        </w:tc>
        <w:tc>
          <w:tcPr>
            <w:tcW w:w="927" w:type="dxa"/>
            <w:gridSpan w:val="3"/>
            <w:tcBorders>
              <w:top w:val="single" w:sz="4" w:space="0" w:color="auto"/>
              <w:left w:val="nil"/>
              <w:bottom w:val="single" w:sz="4" w:space="0" w:color="auto"/>
              <w:right w:val="nil"/>
            </w:tcBorders>
          </w:tcPr>
          <w:p w14:paraId="299AF581" w14:textId="77777777" w:rsidR="00C2201F" w:rsidRDefault="00C2201F" w:rsidP="00E70436">
            <w:pPr>
              <w:widowControl w:val="0"/>
              <w:jc w:val="center"/>
              <w:rPr>
                <w:rFonts w:eastAsia="Times New Roman"/>
                <w:color w:val="000000"/>
              </w:rPr>
            </w:pPr>
            <w:r>
              <w:rPr>
                <w:rFonts w:eastAsia="Times New Roman"/>
                <w:color w:val="000000"/>
              </w:rPr>
              <w:t>5</w:t>
            </w:r>
          </w:p>
        </w:tc>
        <w:tc>
          <w:tcPr>
            <w:tcW w:w="928" w:type="dxa"/>
            <w:gridSpan w:val="5"/>
            <w:tcBorders>
              <w:top w:val="single" w:sz="4" w:space="0" w:color="auto"/>
              <w:left w:val="nil"/>
              <w:bottom w:val="single" w:sz="4" w:space="0" w:color="auto"/>
              <w:right w:val="nil"/>
            </w:tcBorders>
          </w:tcPr>
          <w:p w14:paraId="38C9230A" w14:textId="77777777" w:rsidR="00C2201F" w:rsidRPr="00E56D0A" w:rsidRDefault="00C2201F" w:rsidP="00E70436">
            <w:pPr>
              <w:widowControl w:val="0"/>
              <w:jc w:val="center"/>
              <w:rPr>
                <w:rFonts w:eastAsia="Times New Roman"/>
                <w:color w:val="000000"/>
              </w:rPr>
            </w:pPr>
            <w:r>
              <w:rPr>
                <w:rFonts w:eastAsia="Times New Roman"/>
                <w:color w:val="000000"/>
              </w:rPr>
              <w:t>6</w:t>
            </w:r>
          </w:p>
        </w:tc>
      </w:tr>
      <w:tr w:rsidR="00C2201F" w:rsidRPr="003B37CE" w14:paraId="184F833A" w14:textId="77777777" w:rsidTr="00C2201F">
        <w:trPr>
          <w:trHeight w:val="312"/>
        </w:trPr>
        <w:tc>
          <w:tcPr>
            <w:tcW w:w="3982" w:type="dxa"/>
            <w:tcBorders>
              <w:top w:val="nil"/>
              <w:left w:val="nil"/>
              <w:bottom w:val="nil"/>
              <w:right w:val="nil"/>
            </w:tcBorders>
            <w:shd w:val="clear" w:color="auto" w:fill="auto"/>
            <w:noWrap/>
            <w:vAlign w:val="bottom"/>
            <w:hideMark/>
          </w:tcPr>
          <w:p w14:paraId="42D2FDAE" w14:textId="77777777" w:rsidR="00C2201F" w:rsidRPr="00E56D0A" w:rsidRDefault="00C2201F" w:rsidP="00E70436">
            <w:pPr>
              <w:widowControl w:val="0"/>
              <w:rPr>
                <w:rFonts w:eastAsia="Times New Roman"/>
                <w:color w:val="000000"/>
              </w:rPr>
            </w:pPr>
            <w:r>
              <w:rPr>
                <w:rFonts w:eastAsia="Times New Roman"/>
                <w:color w:val="000000"/>
              </w:rPr>
              <w:t>1) Age</w:t>
            </w:r>
          </w:p>
        </w:tc>
        <w:tc>
          <w:tcPr>
            <w:tcW w:w="927" w:type="dxa"/>
            <w:tcBorders>
              <w:top w:val="nil"/>
              <w:left w:val="nil"/>
              <w:bottom w:val="nil"/>
              <w:right w:val="nil"/>
            </w:tcBorders>
            <w:shd w:val="clear" w:color="auto" w:fill="auto"/>
            <w:noWrap/>
            <w:vAlign w:val="bottom"/>
          </w:tcPr>
          <w:p w14:paraId="335AD7D9" w14:textId="77777777" w:rsidR="00C2201F" w:rsidRPr="003B37CE" w:rsidRDefault="00C2201F" w:rsidP="00E70436">
            <w:pPr>
              <w:widowControl w:val="0"/>
              <w:jc w:val="center"/>
              <w:rPr>
                <w:rFonts w:eastAsia="Times New Roman"/>
                <w:color w:val="000000"/>
              </w:rPr>
            </w:pPr>
            <w:r>
              <w:rPr>
                <w:rFonts w:eastAsia="Times New Roman"/>
                <w:color w:val="000000"/>
              </w:rPr>
              <w:t>-</w:t>
            </w:r>
          </w:p>
        </w:tc>
        <w:tc>
          <w:tcPr>
            <w:tcW w:w="927" w:type="dxa"/>
            <w:gridSpan w:val="2"/>
            <w:tcBorders>
              <w:top w:val="nil"/>
              <w:left w:val="nil"/>
              <w:bottom w:val="nil"/>
              <w:right w:val="nil"/>
            </w:tcBorders>
            <w:shd w:val="clear" w:color="auto" w:fill="auto"/>
            <w:noWrap/>
            <w:vAlign w:val="bottom"/>
          </w:tcPr>
          <w:p w14:paraId="3F177F4B" w14:textId="77777777" w:rsidR="00C2201F" w:rsidRPr="003B37CE" w:rsidRDefault="00C2201F" w:rsidP="00E70436">
            <w:pPr>
              <w:widowControl w:val="0"/>
              <w:jc w:val="center"/>
              <w:rPr>
                <w:rFonts w:eastAsia="Times New Roman"/>
                <w:color w:val="000000"/>
              </w:rPr>
            </w:pPr>
          </w:p>
        </w:tc>
        <w:tc>
          <w:tcPr>
            <w:tcW w:w="928" w:type="dxa"/>
            <w:gridSpan w:val="2"/>
            <w:tcBorders>
              <w:top w:val="nil"/>
              <w:left w:val="nil"/>
              <w:bottom w:val="nil"/>
              <w:right w:val="nil"/>
            </w:tcBorders>
            <w:shd w:val="clear" w:color="auto" w:fill="auto"/>
            <w:noWrap/>
            <w:vAlign w:val="bottom"/>
          </w:tcPr>
          <w:p w14:paraId="037B2376" w14:textId="77777777" w:rsidR="00C2201F" w:rsidRPr="003B37CE" w:rsidRDefault="00C2201F" w:rsidP="00E70436">
            <w:pPr>
              <w:widowControl w:val="0"/>
              <w:jc w:val="center"/>
              <w:rPr>
                <w:rFonts w:eastAsia="Times New Roman"/>
              </w:rPr>
            </w:pPr>
          </w:p>
        </w:tc>
        <w:tc>
          <w:tcPr>
            <w:tcW w:w="927" w:type="dxa"/>
            <w:gridSpan w:val="2"/>
            <w:tcBorders>
              <w:top w:val="nil"/>
              <w:left w:val="nil"/>
              <w:bottom w:val="nil"/>
              <w:right w:val="nil"/>
            </w:tcBorders>
            <w:shd w:val="clear" w:color="auto" w:fill="auto"/>
            <w:noWrap/>
            <w:vAlign w:val="bottom"/>
          </w:tcPr>
          <w:p w14:paraId="260C16B9" w14:textId="77777777" w:rsidR="00C2201F" w:rsidRPr="003B37CE" w:rsidRDefault="00C2201F" w:rsidP="00E70436">
            <w:pPr>
              <w:widowControl w:val="0"/>
              <w:jc w:val="center"/>
              <w:rPr>
                <w:rFonts w:eastAsia="Times New Roman"/>
              </w:rPr>
            </w:pPr>
          </w:p>
        </w:tc>
        <w:tc>
          <w:tcPr>
            <w:tcW w:w="927" w:type="dxa"/>
            <w:gridSpan w:val="3"/>
            <w:tcBorders>
              <w:top w:val="nil"/>
              <w:left w:val="nil"/>
              <w:bottom w:val="nil"/>
              <w:right w:val="nil"/>
            </w:tcBorders>
          </w:tcPr>
          <w:p w14:paraId="38D07B2B" w14:textId="77777777" w:rsidR="00C2201F" w:rsidRPr="003B37CE" w:rsidRDefault="00C2201F" w:rsidP="00E70436">
            <w:pPr>
              <w:widowControl w:val="0"/>
              <w:jc w:val="center"/>
              <w:rPr>
                <w:rFonts w:eastAsia="Times New Roman"/>
              </w:rPr>
            </w:pPr>
          </w:p>
        </w:tc>
        <w:tc>
          <w:tcPr>
            <w:tcW w:w="928" w:type="dxa"/>
            <w:gridSpan w:val="5"/>
            <w:tcBorders>
              <w:top w:val="nil"/>
              <w:left w:val="nil"/>
              <w:bottom w:val="nil"/>
              <w:right w:val="nil"/>
            </w:tcBorders>
          </w:tcPr>
          <w:p w14:paraId="3111F0CC" w14:textId="77777777" w:rsidR="00C2201F" w:rsidRPr="003B37CE" w:rsidRDefault="00C2201F" w:rsidP="00E70436">
            <w:pPr>
              <w:widowControl w:val="0"/>
              <w:jc w:val="center"/>
              <w:rPr>
                <w:rFonts w:eastAsia="Times New Roman"/>
              </w:rPr>
            </w:pPr>
          </w:p>
        </w:tc>
      </w:tr>
      <w:tr w:rsidR="00C2201F" w:rsidRPr="003B37CE" w14:paraId="206BA6F8" w14:textId="77777777" w:rsidTr="00C2201F">
        <w:trPr>
          <w:trHeight w:val="312"/>
        </w:trPr>
        <w:tc>
          <w:tcPr>
            <w:tcW w:w="3982" w:type="dxa"/>
            <w:tcBorders>
              <w:top w:val="nil"/>
              <w:left w:val="nil"/>
              <w:bottom w:val="nil"/>
              <w:right w:val="nil"/>
            </w:tcBorders>
            <w:shd w:val="clear" w:color="auto" w:fill="auto"/>
            <w:noWrap/>
            <w:vAlign w:val="bottom"/>
          </w:tcPr>
          <w:p w14:paraId="3D69F5A1" w14:textId="77777777" w:rsidR="00C2201F" w:rsidRDefault="00C2201F" w:rsidP="00E70436">
            <w:pPr>
              <w:widowControl w:val="0"/>
              <w:rPr>
                <w:rFonts w:eastAsia="Times New Roman"/>
                <w:color w:val="000000"/>
              </w:rPr>
            </w:pPr>
            <w:r>
              <w:rPr>
                <w:rFonts w:eastAsia="Times New Roman"/>
                <w:color w:val="000000"/>
              </w:rPr>
              <w:t xml:space="preserve">2) </w:t>
            </w:r>
            <w:r w:rsidRPr="00916359">
              <w:rPr>
                <w:rFonts w:eastAsia="Times New Roman"/>
                <w:color w:val="000000"/>
              </w:rPr>
              <w:t>Pretest interest in research careers</w:t>
            </w:r>
          </w:p>
        </w:tc>
        <w:tc>
          <w:tcPr>
            <w:tcW w:w="927" w:type="dxa"/>
            <w:tcBorders>
              <w:top w:val="nil"/>
              <w:left w:val="nil"/>
              <w:bottom w:val="nil"/>
              <w:right w:val="nil"/>
            </w:tcBorders>
            <w:shd w:val="clear" w:color="auto" w:fill="auto"/>
            <w:noWrap/>
            <w:vAlign w:val="bottom"/>
          </w:tcPr>
          <w:p w14:paraId="2500E5C0" w14:textId="77777777" w:rsidR="00C2201F" w:rsidRPr="003B37CE" w:rsidRDefault="00144C2D" w:rsidP="00E70436">
            <w:pPr>
              <w:widowControl w:val="0"/>
              <w:jc w:val="center"/>
              <w:rPr>
                <w:rFonts w:eastAsia="Times New Roman"/>
                <w:color w:val="000000"/>
              </w:rPr>
            </w:pPr>
            <w:r>
              <w:rPr>
                <w:rFonts w:eastAsia="Times New Roman"/>
                <w:color w:val="000000"/>
              </w:rPr>
              <w:t>.04</w:t>
            </w:r>
          </w:p>
        </w:tc>
        <w:tc>
          <w:tcPr>
            <w:tcW w:w="927" w:type="dxa"/>
            <w:gridSpan w:val="2"/>
            <w:tcBorders>
              <w:top w:val="nil"/>
              <w:left w:val="nil"/>
              <w:bottom w:val="nil"/>
              <w:right w:val="nil"/>
            </w:tcBorders>
            <w:shd w:val="clear" w:color="auto" w:fill="auto"/>
            <w:noWrap/>
            <w:vAlign w:val="bottom"/>
          </w:tcPr>
          <w:p w14:paraId="2E7ABC6F" w14:textId="77777777" w:rsidR="00C2201F" w:rsidRPr="003B37CE" w:rsidRDefault="00C2201F" w:rsidP="00E70436">
            <w:pPr>
              <w:widowControl w:val="0"/>
              <w:jc w:val="center"/>
              <w:rPr>
                <w:rFonts w:eastAsia="Times New Roman"/>
                <w:color w:val="000000"/>
              </w:rPr>
            </w:pPr>
            <w:r>
              <w:rPr>
                <w:rFonts w:eastAsia="Times New Roman"/>
                <w:color w:val="000000"/>
              </w:rPr>
              <w:t>-</w:t>
            </w:r>
          </w:p>
        </w:tc>
        <w:tc>
          <w:tcPr>
            <w:tcW w:w="928" w:type="dxa"/>
            <w:gridSpan w:val="2"/>
            <w:tcBorders>
              <w:top w:val="nil"/>
              <w:left w:val="nil"/>
              <w:bottom w:val="nil"/>
              <w:right w:val="nil"/>
            </w:tcBorders>
            <w:shd w:val="clear" w:color="auto" w:fill="auto"/>
            <w:noWrap/>
            <w:vAlign w:val="bottom"/>
          </w:tcPr>
          <w:p w14:paraId="359BC551" w14:textId="77777777" w:rsidR="00C2201F" w:rsidRPr="003B37CE" w:rsidRDefault="00C2201F" w:rsidP="00E70436">
            <w:pPr>
              <w:widowControl w:val="0"/>
              <w:jc w:val="center"/>
              <w:rPr>
                <w:rFonts w:eastAsia="Times New Roman"/>
              </w:rPr>
            </w:pPr>
          </w:p>
        </w:tc>
        <w:tc>
          <w:tcPr>
            <w:tcW w:w="927" w:type="dxa"/>
            <w:gridSpan w:val="2"/>
            <w:tcBorders>
              <w:top w:val="nil"/>
              <w:left w:val="nil"/>
              <w:bottom w:val="nil"/>
              <w:right w:val="nil"/>
            </w:tcBorders>
            <w:shd w:val="clear" w:color="auto" w:fill="auto"/>
            <w:noWrap/>
            <w:vAlign w:val="bottom"/>
          </w:tcPr>
          <w:p w14:paraId="33ED89D8" w14:textId="77777777" w:rsidR="00C2201F" w:rsidRPr="003B37CE" w:rsidRDefault="00C2201F" w:rsidP="00E70436">
            <w:pPr>
              <w:widowControl w:val="0"/>
              <w:jc w:val="center"/>
              <w:rPr>
                <w:rFonts w:eastAsia="Times New Roman"/>
              </w:rPr>
            </w:pPr>
          </w:p>
        </w:tc>
        <w:tc>
          <w:tcPr>
            <w:tcW w:w="927" w:type="dxa"/>
            <w:gridSpan w:val="3"/>
            <w:tcBorders>
              <w:top w:val="nil"/>
              <w:left w:val="nil"/>
              <w:bottom w:val="nil"/>
              <w:right w:val="nil"/>
            </w:tcBorders>
          </w:tcPr>
          <w:p w14:paraId="3ACE0001" w14:textId="77777777" w:rsidR="00C2201F" w:rsidRPr="003B37CE" w:rsidRDefault="00C2201F" w:rsidP="00E70436">
            <w:pPr>
              <w:widowControl w:val="0"/>
              <w:jc w:val="center"/>
              <w:rPr>
                <w:rFonts w:eastAsia="Times New Roman"/>
              </w:rPr>
            </w:pPr>
          </w:p>
        </w:tc>
        <w:tc>
          <w:tcPr>
            <w:tcW w:w="928" w:type="dxa"/>
            <w:gridSpan w:val="5"/>
            <w:tcBorders>
              <w:top w:val="nil"/>
              <w:left w:val="nil"/>
              <w:bottom w:val="nil"/>
              <w:right w:val="nil"/>
            </w:tcBorders>
          </w:tcPr>
          <w:p w14:paraId="0BE30CB8" w14:textId="77777777" w:rsidR="00C2201F" w:rsidRPr="003B37CE" w:rsidRDefault="00C2201F" w:rsidP="00E70436">
            <w:pPr>
              <w:widowControl w:val="0"/>
              <w:jc w:val="center"/>
              <w:rPr>
                <w:rFonts w:eastAsia="Times New Roman"/>
              </w:rPr>
            </w:pPr>
          </w:p>
        </w:tc>
      </w:tr>
      <w:tr w:rsidR="00C2201F" w:rsidRPr="003B37CE" w14:paraId="68FF01A9" w14:textId="77777777" w:rsidTr="00C2201F">
        <w:trPr>
          <w:trHeight w:val="312"/>
        </w:trPr>
        <w:tc>
          <w:tcPr>
            <w:tcW w:w="3982" w:type="dxa"/>
            <w:tcBorders>
              <w:top w:val="nil"/>
              <w:left w:val="nil"/>
              <w:bottom w:val="nil"/>
              <w:right w:val="nil"/>
            </w:tcBorders>
            <w:shd w:val="clear" w:color="auto" w:fill="auto"/>
            <w:noWrap/>
            <w:vAlign w:val="bottom"/>
          </w:tcPr>
          <w:p w14:paraId="5CF12D71" w14:textId="77777777" w:rsidR="00C2201F" w:rsidRDefault="00C2201F" w:rsidP="00E70436">
            <w:pPr>
              <w:widowControl w:val="0"/>
              <w:rPr>
                <w:rFonts w:eastAsia="Times New Roman"/>
                <w:color w:val="000000"/>
              </w:rPr>
            </w:pPr>
            <w:r>
              <w:rPr>
                <w:rFonts w:eastAsia="Times New Roman"/>
                <w:color w:val="000000"/>
              </w:rPr>
              <w:t>3) GPA</w:t>
            </w:r>
          </w:p>
        </w:tc>
        <w:tc>
          <w:tcPr>
            <w:tcW w:w="927" w:type="dxa"/>
            <w:tcBorders>
              <w:top w:val="nil"/>
              <w:left w:val="nil"/>
              <w:bottom w:val="nil"/>
              <w:right w:val="nil"/>
            </w:tcBorders>
            <w:shd w:val="clear" w:color="auto" w:fill="auto"/>
            <w:noWrap/>
            <w:vAlign w:val="bottom"/>
          </w:tcPr>
          <w:p w14:paraId="2B692E7B" w14:textId="77777777" w:rsidR="00C2201F" w:rsidRDefault="00C05E90" w:rsidP="00E70436">
            <w:pPr>
              <w:widowControl w:val="0"/>
              <w:jc w:val="center"/>
              <w:rPr>
                <w:rFonts w:eastAsia="Times New Roman"/>
                <w:color w:val="000000"/>
              </w:rPr>
            </w:pPr>
            <w:r>
              <w:rPr>
                <w:rFonts w:eastAsia="Times New Roman"/>
                <w:color w:val="000000"/>
              </w:rPr>
              <w:t>-.27**</w:t>
            </w:r>
          </w:p>
        </w:tc>
        <w:tc>
          <w:tcPr>
            <w:tcW w:w="927" w:type="dxa"/>
            <w:gridSpan w:val="2"/>
            <w:tcBorders>
              <w:top w:val="nil"/>
              <w:left w:val="nil"/>
              <w:bottom w:val="nil"/>
              <w:right w:val="nil"/>
            </w:tcBorders>
            <w:shd w:val="clear" w:color="auto" w:fill="auto"/>
            <w:noWrap/>
            <w:vAlign w:val="bottom"/>
          </w:tcPr>
          <w:p w14:paraId="7D28E3C5" w14:textId="77777777" w:rsidR="00C2201F" w:rsidRDefault="00C05E90" w:rsidP="00E70436">
            <w:pPr>
              <w:widowControl w:val="0"/>
              <w:jc w:val="center"/>
              <w:rPr>
                <w:rFonts w:eastAsia="Times New Roman"/>
                <w:color w:val="000000"/>
              </w:rPr>
            </w:pPr>
            <w:r>
              <w:rPr>
                <w:rFonts w:eastAsia="Times New Roman"/>
                <w:color w:val="000000"/>
              </w:rPr>
              <w:t>.04</w:t>
            </w:r>
          </w:p>
        </w:tc>
        <w:tc>
          <w:tcPr>
            <w:tcW w:w="928" w:type="dxa"/>
            <w:gridSpan w:val="2"/>
            <w:tcBorders>
              <w:top w:val="nil"/>
              <w:left w:val="nil"/>
              <w:bottom w:val="nil"/>
              <w:right w:val="nil"/>
            </w:tcBorders>
            <w:shd w:val="clear" w:color="auto" w:fill="auto"/>
            <w:noWrap/>
            <w:vAlign w:val="bottom"/>
          </w:tcPr>
          <w:p w14:paraId="24B6FA86" w14:textId="77777777" w:rsidR="00C2201F" w:rsidRPr="003B37CE" w:rsidRDefault="00C2201F" w:rsidP="00E70436">
            <w:pPr>
              <w:widowControl w:val="0"/>
              <w:jc w:val="center"/>
              <w:rPr>
                <w:rFonts w:eastAsia="Times New Roman"/>
              </w:rPr>
            </w:pPr>
            <w:r>
              <w:rPr>
                <w:rFonts w:eastAsia="Times New Roman"/>
              </w:rPr>
              <w:t>-</w:t>
            </w:r>
          </w:p>
        </w:tc>
        <w:tc>
          <w:tcPr>
            <w:tcW w:w="927" w:type="dxa"/>
            <w:gridSpan w:val="2"/>
            <w:tcBorders>
              <w:top w:val="nil"/>
              <w:left w:val="nil"/>
              <w:bottom w:val="nil"/>
              <w:right w:val="nil"/>
            </w:tcBorders>
            <w:shd w:val="clear" w:color="auto" w:fill="auto"/>
            <w:noWrap/>
            <w:vAlign w:val="bottom"/>
          </w:tcPr>
          <w:p w14:paraId="1AB5A732" w14:textId="77777777" w:rsidR="00C2201F" w:rsidRPr="003B37CE" w:rsidRDefault="00C2201F" w:rsidP="00E70436">
            <w:pPr>
              <w:widowControl w:val="0"/>
              <w:jc w:val="center"/>
              <w:rPr>
                <w:rFonts w:eastAsia="Times New Roman"/>
              </w:rPr>
            </w:pPr>
          </w:p>
        </w:tc>
        <w:tc>
          <w:tcPr>
            <w:tcW w:w="927" w:type="dxa"/>
            <w:gridSpan w:val="3"/>
            <w:tcBorders>
              <w:top w:val="nil"/>
              <w:left w:val="nil"/>
              <w:bottom w:val="nil"/>
              <w:right w:val="nil"/>
            </w:tcBorders>
          </w:tcPr>
          <w:p w14:paraId="45DBEBB3" w14:textId="77777777" w:rsidR="00C2201F" w:rsidRPr="003B37CE" w:rsidRDefault="00C2201F" w:rsidP="00E70436">
            <w:pPr>
              <w:widowControl w:val="0"/>
              <w:jc w:val="center"/>
              <w:rPr>
                <w:rFonts w:eastAsia="Times New Roman"/>
              </w:rPr>
            </w:pPr>
          </w:p>
        </w:tc>
        <w:tc>
          <w:tcPr>
            <w:tcW w:w="928" w:type="dxa"/>
            <w:gridSpan w:val="5"/>
            <w:tcBorders>
              <w:top w:val="nil"/>
              <w:left w:val="nil"/>
              <w:bottom w:val="nil"/>
              <w:right w:val="nil"/>
            </w:tcBorders>
          </w:tcPr>
          <w:p w14:paraId="20EE1742" w14:textId="77777777" w:rsidR="00C2201F" w:rsidRPr="003B37CE" w:rsidRDefault="00C2201F" w:rsidP="00E70436">
            <w:pPr>
              <w:widowControl w:val="0"/>
              <w:jc w:val="center"/>
              <w:rPr>
                <w:rFonts w:eastAsia="Times New Roman"/>
              </w:rPr>
            </w:pPr>
          </w:p>
        </w:tc>
      </w:tr>
      <w:tr w:rsidR="00C2201F" w:rsidRPr="003B37CE" w14:paraId="418FB87C" w14:textId="77777777" w:rsidTr="00C2201F">
        <w:trPr>
          <w:trHeight w:val="312"/>
        </w:trPr>
        <w:tc>
          <w:tcPr>
            <w:tcW w:w="3982" w:type="dxa"/>
            <w:tcBorders>
              <w:top w:val="nil"/>
              <w:left w:val="nil"/>
              <w:bottom w:val="nil"/>
              <w:right w:val="nil"/>
            </w:tcBorders>
            <w:shd w:val="clear" w:color="auto" w:fill="auto"/>
            <w:noWrap/>
            <w:vAlign w:val="bottom"/>
          </w:tcPr>
          <w:p w14:paraId="19EFA390" w14:textId="77777777" w:rsidR="00C2201F" w:rsidRDefault="00C2201F" w:rsidP="00E70436">
            <w:pPr>
              <w:widowControl w:val="0"/>
              <w:rPr>
                <w:rFonts w:eastAsia="Times New Roman"/>
                <w:color w:val="000000"/>
              </w:rPr>
            </w:pPr>
            <w:r>
              <w:rPr>
                <w:rFonts w:eastAsia="Times New Roman"/>
                <w:color w:val="000000"/>
              </w:rPr>
              <w:t>4) Family role salience</w:t>
            </w:r>
          </w:p>
        </w:tc>
        <w:tc>
          <w:tcPr>
            <w:tcW w:w="927" w:type="dxa"/>
            <w:tcBorders>
              <w:top w:val="nil"/>
              <w:left w:val="nil"/>
              <w:bottom w:val="nil"/>
              <w:right w:val="nil"/>
            </w:tcBorders>
            <w:shd w:val="clear" w:color="auto" w:fill="auto"/>
            <w:noWrap/>
            <w:vAlign w:val="bottom"/>
          </w:tcPr>
          <w:p w14:paraId="196285C2" w14:textId="77777777" w:rsidR="00C2201F" w:rsidRPr="003B37CE" w:rsidRDefault="00C05E90" w:rsidP="00E70436">
            <w:pPr>
              <w:widowControl w:val="0"/>
              <w:jc w:val="center"/>
              <w:rPr>
                <w:rFonts w:eastAsia="Times New Roman"/>
                <w:color w:val="000000"/>
              </w:rPr>
            </w:pPr>
            <w:r>
              <w:rPr>
                <w:rFonts w:eastAsia="Times New Roman"/>
                <w:color w:val="000000"/>
              </w:rPr>
              <w:t>-.11</w:t>
            </w:r>
          </w:p>
        </w:tc>
        <w:tc>
          <w:tcPr>
            <w:tcW w:w="927" w:type="dxa"/>
            <w:gridSpan w:val="2"/>
            <w:tcBorders>
              <w:top w:val="nil"/>
              <w:left w:val="nil"/>
              <w:bottom w:val="nil"/>
              <w:right w:val="nil"/>
            </w:tcBorders>
            <w:shd w:val="clear" w:color="auto" w:fill="auto"/>
            <w:noWrap/>
            <w:vAlign w:val="bottom"/>
          </w:tcPr>
          <w:p w14:paraId="73B23106" w14:textId="77777777" w:rsidR="00C2201F" w:rsidRPr="003B37CE" w:rsidRDefault="00144C2D" w:rsidP="00E70436">
            <w:pPr>
              <w:widowControl w:val="0"/>
              <w:jc w:val="center"/>
              <w:rPr>
                <w:rFonts w:eastAsia="Times New Roman"/>
                <w:color w:val="000000"/>
              </w:rPr>
            </w:pPr>
            <w:r>
              <w:rPr>
                <w:rFonts w:eastAsia="Times New Roman"/>
                <w:color w:val="000000"/>
              </w:rPr>
              <w:t>-.16</w:t>
            </w:r>
          </w:p>
        </w:tc>
        <w:tc>
          <w:tcPr>
            <w:tcW w:w="928" w:type="dxa"/>
            <w:gridSpan w:val="2"/>
            <w:tcBorders>
              <w:top w:val="nil"/>
              <w:left w:val="nil"/>
              <w:bottom w:val="nil"/>
              <w:right w:val="nil"/>
            </w:tcBorders>
            <w:shd w:val="clear" w:color="auto" w:fill="auto"/>
            <w:noWrap/>
            <w:vAlign w:val="bottom"/>
          </w:tcPr>
          <w:p w14:paraId="160FB34F" w14:textId="77777777" w:rsidR="00C2201F" w:rsidRPr="003B37CE" w:rsidRDefault="00C05E90" w:rsidP="00E70436">
            <w:pPr>
              <w:widowControl w:val="0"/>
              <w:jc w:val="center"/>
              <w:rPr>
                <w:rFonts w:eastAsia="Times New Roman"/>
              </w:rPr>
            </w:pPr>
            <w:r>
              <w:rPr>
                <w:rFonts w:eastAsia="Times New Roman"/>
              </w:rPr>
              <w:t>.09</w:t>
            </w:r>
          </w:p>
        </w:tc>
        <w:tc>
          <w:tcPr>
            <w:tcW w:w="927" w:type="dxa"/>
            <w:gridSpan w:val="2"/>
            <w:tcBorders>
              <w:top w:val="nil"/>
              <w:left w:val="nil"/>
              <w:bottom w:val="nil"/>
              <w:right w:val="nil"/>
            </w:tcBorders>
            <w:shd w:val="clear" w:color="auto" w:fill="auto"/>
            <w:noWrap/>
            <w:vAlign w:val="bottom"/>
          </w:tcPr>
          <w:p w14:paraId="735EA88D" w14:textId="77777777" w:rsidR="00C2201F" w:rsidRPr="003B37CE" w:rsidRDefault="00C2201F" w:rsidP="00E70436">
            <w:pPr>
              <w:widowControl w:val="0"/>
              <w:jc w:val="center"/>
              <w:rPr>
                <w:rFonts w:eastAsia="Times New Roman"/>
              </w:rPr>
            </w:pPr>
            <w:r>
              <w:rPr>
                <w:rFonts w:eastAsia="Times New Roman"/>
              </w:rPr>
              <w:t>-</w:t>
            </w:r>
          </w:p>
        </w:tc>
        <w:tc>
          <w:tcPr>
            <w:tcW w:w="927" w:type="dxa"/>
            <w:gridSpan w:val="3"/>
            <w:tcBorders>
              <w:top w:val="nil"/>
              <w:left w:val="nil"/>
              <w:bottom w:val="nil"/>
              <w:right w:val="nil"/>
            </w:tcBorders>
          </w:tcPr>
          <w:p w14:paraId="117514AC" w14:textId="77777777" w:rsidR="00C2201F" w:rsidRPr="003B37CE" w:rsidRDefault="00C2201F" w:rsidP="00E70436">
            <w:pPr>
              <w:widowControl w:val="0"/>
              <w:jc w:val="center"/>
              <w:rPr>
                <w:rFonts w:eastAsia="Times New Roman"/>
              </w:rPr>
            </w:pPr>
          </w:p>
        </w:tc>
        <w:tc>
          <w:tcPr>
            <w:tcW w:w="928" w:type="dxa"/>
            <w:gridSpan w:val="5"/>
            <w:tcBorders>
              <w:top w:val="nil"/>
              <w:left w:val="nil"/>
              <w:bottom w:val="nil"/>
              <w:right w:val="nil"/>
            </w:tcBorders>
          </w:tcPr>
          <w:p w14:paraId="53A6D03E" w14:textId="77777777" w:rsidR="00C2201F" w:rsidRPr="003B37CE" w:rsidRDefault="00C2201F" w:rsidP="00E70436">
            <w:pPr>
              <w:widowControl w:val="0"/>
              <w:jc w:val="center"/>
              <w:rPr>
                <w:rFonts w:eastAsia="Times New Roman"/>
              </w:rPr>
            </w:pPr>
          </w:p>
        </w:tc>
      </w:tr>
      <w:tr w:rsidR="00C2201F" w:rsidRPr="003B37CE" w14:paraId="2384E12A" w14:textId="77777777" w:rsidTr="006F3DE4">
        <w:trPr>
          <w:trHeight w:val="312"/>
        </w:trPr>
        <w:tc>
          <w:tcPr>
            <w:tcW w:w="3982" w:type="dxa"/>
            <w:tcBorders>
              <w:top w:val="nil"/>
              <w:left w:val="nil"/>
              <w:right w:val="nil"/>
            </w:tcBorders>
            <w:shd w:val="clear" w:color="auto" w:fill="auto"/>
            <w:noWrap/>
            <w:vAlign w:val="bottom"/>
          </w:tcPr>
          <w:p w14:paraId="41A53E58" w14:textId="77777777" w:rsidR="00C2201F" w:rsidRPr="00E56D0A" w:rsidRDefault="00C2201F" w:rsidP="00E70436">
            <w:pPr>
              <w:widowControl w:val="0"/>
              <w:rPr>
                <w:rFonts w:eastAsia="Times New Roman"/>
                <w:color w:val="000000"/>
              </w:rPr>
            </w:pPr>
            <w:r>
              <w:rPr>
                <w:rFonts w:eastAsia="Times New Roman"/>
                <w:color w:val="000000"/>
              </w:rPr>
              <w:t>5</w:t>
            </w:r>
            <w:r w:rsidRPr="00712FE3">
              <w:rPr>
                <w:rFonts w:eastAsia="Times New Roman"/>
                <w:color w:val="000000"/>
              </w:rPr>
              <w:t xml:space="preserve">) </w:t>
            </w:r>
            <w:r>
              <w:rPr>
                <w:rFonts w:eastAsia="Times New Roman"/>
                <w:color w:val="000000"/>
              </w:rPr>
              <w:t xml:space="preserve">Self-inspiration </w:t>
            </w:r>
          </w:p>
        </w:tc>
        <w:tc>
          <w:tcPr>
            <w:tcW w:w="927" w:type="dxa"/>
            <w:tcBorders>
              <w:top w:val="nil"/>
              <w:left w:val="nil"/>
              <w:right w:val="nil"/>
            </w:tcBorders>
            <w:shd w:val="clear" w:color="auto" w:fill="auto"/>
            <w:noWrap/>
            <w:vAlign w:val="bottom"/>
          </w:tcPr>
          <w:p w14:paraId="7B5592E0" w14:textId="77777777" w:rsidR="00C2201F" w:rsidRPr="003B37CE" w:rsidRDefault="00C05E90" w:rsidP="00E70436">
            <w:pPr>
              <w:widowControl w:val="0"/>
              <w:jc w:val="center"/>
              <w:rPr>
                <w:rFonts w:eastAsia="Times New Roman"/>
                <w:color w:val="000000"/>
              </w:rPr>
            </w:pPr>
            <w:r>
              <w:rPr>
                <w:rFonts w:eastAsia="Times New Roman"/>
                <w:color w:val="000000"/>
              </w:rPr>
              <w:t>-.08</w:t>
            </w:r>
          </w:p>
        </w:tc>
        <w:tc>
          <w:tcPr>
            <w:tcW w:w="927" w:type="dxa"/>
            <w:gridSpan w:val="2"/>
            <w:tcBorders>
              <w:top w:val="nil"/>
              <w:left w:val="nil"/>
              <w:right w:val="nil"/>
            </w:tcBorders>
            <w:shd w:val="clear" w:color="auto" w:fill="auto"/>
            <w:noWrap/>
            <w:vAlign w:val="bottom"/>
          </w:tcPr>
          <w:p w14:paraId="1CF0A492" w14:textId="77777777" w:rsidR="00C2201F" w:rsidRPr="003B37CE" w:rsidRDefault="00144C2D" w:rsidP="00E70436">
            <w:pPr>
              <w:widowControl w:val="0"/>
              <w:jc w:val="center"/>
              <w:rPr>
                <w:rFonts w:eastAsia="Times New Roman"/>
                <w:color w:val="000000"/>
              </w:rPr>
            </w:pPr>
            <w:r>
              <w:rPr>
                <w:rFonts w:eastAsia="Times New Roman"/>
                <w:color w:val="000000"/>
              </w:rPr>
              <w:t>-.02</w:t>
            </w:r>
          </w:p>
        </w:tc>
        <w:tc>
          <w:tcPr>
            <w:tcW w:w="928" w:type="dxa"/>
            <w:gridSpan w:val="2"/>
            <w:tcBorders>
              <w:top w:val="nil"/>
              <w:left w:val="nil"/>
              <w:right w:val="nil"/>
            </w:tcBorders>
            <w:shd w:val="clear" w:color="auto" w:fill="auto"/>
            <w:noWrap/>
            <w:vAlign w:val="bottom"/>
          </w:tcPr>
          <w:p w14:paraId="56E63EFE" w14:textId="77777777" w:rsidR="00C2201F" w:rsidRPr="003B37CE" w:rsidRDefault="00C05E90" w:rsidP="00E70436">
            <w:pPr>
              <w:widowControl w:val="0"/>
              <w:jc w:val="center"/>
              <w:rPr>
                <w:rFonts w:eastAsia="Times New Roman"/>
              </w:rPr>
            </w:pPr>
            <w:r>
              <w:rPr>
                <w:rFonts w:eastAsia="Times New Roman"/>
              </w:rPr>
              <w:t>.02</w:t>
            </w:r>
          </w:p>
        </w:tc>
        <w:tc>
          <w:tcPr>
            <w:tcW w:w="927" w:type="dxa"/>
            <w:gridSpan w:val="2"/>
            <w:tcBorders>
              <w:top w:val="nil"/>
              <w:left w:val="nil"/>
              <w:right w:val="nil"/>
            </w:tcBorders>
            <w:shd w:val="clear" w:color="auto" w:fill="auto"/>
            <w:noWrap/>
            <w:vAlign w:val="bottom"/>
          </w:tcPr>
          <w:p w14:paraId="5A0B7AD3" w14:textId="77777777" w:rsidR="00C2201F" w:rsidRPr="003B37CE" w:rsidRDefault="00C05E90" w:rsidP="00E70436">
            <w:pPr>
              <w:widowControl w:val="0"/>
              <w:jc w:val="center"/>
              <w:rPr>
                <w:rFonts w:eastAsia="Times New Roman"/>
              </w:rPr>
            </w:pPr>
            <w:r>
              <w:rPr>
                <w:rFonts w:eastAsia="Times New Roman"/>
              </w:rPr>
              <w:t>.16</w:t>
            </w:r>
            <w:r w:rsidR="00C2201F">
              <w:rPr>
                <w:rFonts w:eastAsia="Times New Roman"/>
              </w:rPr>
              <w:t>*</w:t>
            </w:r>
          </w:p>
        </w:tc>
        <w:tc>
          <w:tcPr>
            <w:tcW w:w="927" w:type="dxa"/>
            <w:gridSpan w:val="3"/>
            <w:tcBorders>
              <w:top w:val="nil"/>
              <w:left w:val="nil"/>
              <w:right w:val="nil"/>
            </w:tcBorders>
            <w:vAlign w:val="bottom"/>
          </w:tcPr>
          <w:p w14:paraId="0573E7B8" w14:textId="77777777" w:rsidR="00C2201F" w:rsidRDefault="00C2201F" w:rsidP="00E70436">
            <w:pPr>
              <w:widowControl w:val="0"/>
              <w:jc w:val="center"/>
              <w:rPr>
                <w:rFonts w:eastAsia="Times New Roman"/>
              </w:rPr>
            </w:pPr>
            <w:r>
              <w:rPr>
                <w:rFonts w:eastAsia="Times New Roman"/>
              </w:rPr>
              <w:t>-</w:t>
            </w:r>
          </w:p>
        </w:tc>
        <w:tc>
          <w:tcPr>
            <w:tcW w:w="928" w:type="dxa"/>
            <w:gridSpan w:val="5"/>
            <w:tcBorders>
              <w:top w:val="nil"/>
              <w:left w:val="nil"/>
              <w:right w:val="nil"/>
            </w:tcBorders>
          </w:tcPr>
          <w:p w14:paraId="4A8D2302" w14:textId="77777777" w:rsidR="00C2201F" w:rsidRPr="003B37CE" w:rsidRDefault="00C2201F" w:rsidP="00E70436">
            <w:pPr>
              <w:widowControl w:val="0"/>
              <w:jc w:val="center"/>
              <w:rPr>
                <w:rFonts w:eastAsia="Times New Roman"/>
              </w:rPr>
            </w:pPr>
          </w:p>
        </w:tc>
      </w:tr>
      <w:tr w:rsidR="00C2201F" w:rsidRPr="003B37CE" w14:paraId="07608AEA" w14:textId="77777777" w:rsidTr="006F3DE4">
        <w:trPr>
          <w:trHeight w:val="312"/>
        </w:trPr>
        <w:tc>
          <w:tcPr>
            <w:tcW w:w="3982" w:type="dxa"/>
            <w:tcBorders>
              <w:top w:val="nil"/>
              <w:left w:val="nil"/>
              <w:bottom w:val="single" w:sz="4" w:space="0" w:color="auto"/>
              <w:right w:val="nil"/>
            </w:tcBorders>
            <w:shd w:val="clear" w:color="auto" w:fill="auto"/>
            <w:noWrap/>
            <w:vAlign w:val="bottom"/>
            <w:hideMark/>
          </w:tcPr>
          <w:p w14:paraId="3BBECF24" w14:textId="77777777" w:rsidR="00C2201F" w:rsidRPr="00E56D0A" w:rsidRDefault="00C2201F" w:rsidP="00E70436">
            <w:pPr>
              <w:widowControl w:val="0"/>
              <w:rPr>
                <w:rFonts w:eastAsia="Times New Roman"/>
                <w:color w:val="000000"/>
              </w:rPr>
            </w:pPr>
            <w:r>
              <w:rPr>
                <w:rFonts w:eastAsia="Times New Roman"/>
                <w:color w:val="000000"/>
              </w:rPr>
              <w:t>6</w:t>
            </w:r>
            <w:r w:rsidRPr="00E56D0A">
              <w:rPr>
                <w:rFonts w:eastAsia="Times New Roman"/>
                <w:color w:val="000000"/>
              </w:rPr>
              <w:t xml:space="preserve">) </w:t>
            </w:r>
            <w:r w:rsidRPr="00916359">
              <w:rPr>
                <w:rFonts w:eastAsia="Times New Roman"/>
                <w:color w:val="000000"/>
              </w:rPr>
              <w:t>Posttest interest in research careers</w:t>
            </w:r>
          </w:p>
        </w:tc>
        <w:tc>
          <w:tcPr>
            <w:tcW w:w="927" w:type="dxa"/>
            <w:tcBorders>
              <w:top w:val="nil"/>
              <w:left w:val="nil"/>
              <w:bottom w:val="single" w:sz="4" w:space="0" w:color="auto"/>
              <w:right w:val="nil"/>
            </w:tcBorders>
            <w:shd w:val="clear" w:color="auto" w:fill="auto"/>
            <w:noWrap/>
            <w:vAlign w:val="bottom"/>
          </w:tcPr>
          <w:p w14:paraId="221D6B7A" w14:textId="77777777" w:rsidR="00C2201F" w:rsidRPr="003B37CE" w:rsidRDefault="00C05E90" w:rsidP="00E70436">
            <w:pPr>
              <w:widowControl w:val="0"/>
              <w:jc w:val="center"/>
              <w:rPr>
                <w:rFonts w:eastAsia="Times New Roman"/>
                <w:color w:val="000000"/>
              </w:rPr>
            </w:pPr>
            <w:r>
              <w:rPr>
                <w:rFonts w:eastAsia="Times New Roman"/>
                <w:color w:val="000000"/>
              </w:rPr>
              <w:t>.03</w:t>
            </w:r>
          </w:p>
        </w:tc>
        <w:tc>
          <w:tcPr>
            <w:tcW w:w="927" w:type="dxa"/>
            <w:gridSpan w:val="2"/>
            <w:tcBorders>
              <w:top w:val="nil"/>
              <w:left w:val="nil"/>
              <w:bottom w:val="single" w:sz="4" w:space="0" w:color="auto"/>
              <w:right w:val="nil"/>
            </w:tcBorders>
            <w:shd w:val="clear" w:color="auto" w:fill="auto"/>
            <w:noWrap/>
            <w:vAlign w:val="bottom"/>
          </w:tcPr>
          <w:p w14:paraId="5DB0E12A" w14:textId="77777777" w:rsidR="00C2201F" w:rsidRPr="003B37CE" w:rsidRDefault="00C05E90" w:rsidP="00E70436">
            <w:pPr>
              <w:widowControl w:val="0"/>
              <w:jc w:val="center"/>
              <w:rPr>
                <w:rFonts w:eastAsia="Times New Roman"/>
                <w:color w:val="000000"/>
              </w:rPr>
            </w:pPr>
            <w:r>
              <w:rPr>
                <w:rFonts w:eastAsia="Times New Roman"/>
                <w:color w:val="000000"/>
              </w:rPr>
              <w:t>.82</w:t>
            </w:r>
            <w:r w:rsidR="00C2201F">
              <w:rPr>
                <w:rFonts w:eastAsia="Times New Roman"/>
                <w:color w:val="000000"/>
              </w:rPr>
              <w:t>**</w:t>
            </w:r>
            <w:r>
              <w:rPr>
                <w:rFonts w:eastAsia="Times New Roman"/>
                <w:color w:val="000000"/>
              </w:rPr>
              <w:t>*</w:t>
            </w:r>
          </w:p>
        </w:tc>
        <w:tc>
          <w:tcPr>
            <w:tcW w:w="928" w:type="dxa"/>
            <w:gridSpan w:val="2"/>
            <w:tcBorders>
              <w:top w:val="nil"/>
              <w:left w:val="nil"/>
              <w:bottom w:val="single" w:sz="4" w:space="0" w:color="auto"/>
              <w:right w:val="nil"/>
            </w:tcBorders>
            <w:shd w:val="clear" w:color="auto" w:fill="auto"/>
            <w:noWrap/>
            <w:vAlign w:val="bottom"/>
          </w:tcPr>
          <w:p w14:paraId="65BAEAC9" w14:textId="77777777" w:rsidR="00C2201F" w:rsidRPr="003B37CE" w:rsidRDefault="00C05E90" w:rsidP="00E70436">
            <w:pPr>
              <w:widowControl w:val="0"/>
              <w:jc w:val="center"/>
              <w:rPr>
                <w:rFonts w:eastAsia="Times New Roman"/>
                <w:color w:val="000000"/>
              </w:rPr>
            </w:pPr>
            <w:r>
              <w:rPr>
                <w:rFonts w:eastAsia="Times New Roman"/>
                <w:color w:val="000000"/>
              </w:rPr>
              <w:t>.03</w:t>
            </w:r>
          </w:p>
        </w:tc>
        <w:tc>
          <w:tcPr>
            <w:tcW w:w="927" w:type="dxa"/>
            <w:gridSpan w:val="2"/>
            <w:tcBorders>
              <w:top w:val="nil"/>
              <w:left w:val="nil"/>
              <w:bottom w:val="single" w:sz="4" w:space="0" w:color="auto"/>
              <w:right w:val="nil"/>
            </w:tcBorders>
            <w:shd w:val="clear" w:color="auto" w:fill="auto"/>
            <w:noWrap/>
            <w:vAlign w:val="bottom"/>
          </w:tcPr>
          <w:p w14:paraId="4ECE1BC0" w14:textId="77777777" w:rsidR="00C2201F" w:rsidRPr="003B37CE" w:rsidRDefault="00C05E90" w:rsidP="00E70436">
            <w:pPr>
              <w:widowControl w:val="0"/>
              <w:jc w:val="center"/>
              <w:rPr>
                <w:rFonts w:eastAsia="Times New Roman"/>
              </w:rPr>
            </w:pPr>
            <w:r>
              <w:rPr>
                <w:rFonts w:eastAsia="Times New Roman"/>
                <w:color w:val="000000"/>
              </w:rPr>
              <w:t>-.05</w:t>
            </w:r>
          </w:p>
        </w:tc>
        <w:tc>
          <w:tcPr>
            <w:tcW w:w="927" w:type="dxa"/>
            <w:gridSpan w:val="3"/>
            <w:tcBorders>
              <w:top w:val="nil"/>
              <w:left w:val="nil"/>
              <w:bottom w:val="single" w:sz="4" w:space="0" w:color="auto"/>
              <w:right w:val="nil"/>
            </w:tcBorders>
            <w:vAlign w:val="bottom"/>
          </w:tcPr>
          <w:p w14:paraId="540B82D2" w14:textId="77777777" w:rsidR="00C2201F" w:rsidRDefault="00C05E90" w:rsidP="00E70436">
            <w:pPr>
              <w:widowControl w:val="0"/>
              <w:jc w:val="center"/>
              <w:rPr>
                <w:rFonts w:eastAsia="Times New Roman"/>
              </w:rPr>
            </w:pPr>
            <w:r>
              <w:rPr>
                <w:rFonts w:eastAsia="Times New Roman"/>
              </w:rPr>
              <w:t>.06</w:t>
            </w:r>
          </w:p>
        </w:tc>
        <w:tc>
          <w:tcPr>
            <w:tcW w:w="928" w:type="dxa"/>
            <w:gridSpan w:val="5"/>
            <w:tcBorders>
              <w:top w:val="nil"/>
              <w:left w:val="nil"/>
              <w:bottom w:val="single" w:sz="4" w:space="0" w:color="auto"/>
              <w:right w:val="nil"/>
            </w:tcBorders>
          </w:tcPr>
          <w:p w14:paraId="58A6859C" w14:textId="77777777" w:rsidR="00C2201F" w:rsidRPr="003B37CE" w:rsidRDefault="00C2201F" w:rsidP="00E70436">
            <w:pPr>
              <w:widowControl w:val="0"/>
              <w:jc w:val="center"/>
              <w:rPr>
                <w:rFonts w:eastAsia="Times New Roman"/>
              </w:rPr>
            </w:pPr>
            <w:r>
              <w:rPr>
                <w:rFonts w:eastAsia="Times New Roman"/>
              </w:rPr>
              <w:t>-</w:t>
            </w:r>
          </w:p>
        </w:tc>
      </w:tr>
      <w:tr w:rsidR="00C2201F" w:rsidRPr="00E56D0A" w14:paraId="12320ED0" w14:textId="77777777" w:rsidTr="00C2201F">
        <w:trPr>
          <w:gridAfter w:val="1"/>
          <w:wAfter w:w="136" w:type="dxa"/>
          <w:trHeight w:val="312"/>
        </w:trPr>
        <w:tc>
          <w:tcPr>
            <w:tcW w:w="5220" w:type="dxa"/>
            <w:gridSpan w:val="3"/>
            <w:tcBorders>
              <w:left w:val="nil"/>
              <w:bottom w:val="nil"/>
              <w:right w:val="nil"/>
            </w:tcBorders>
            <w:shd w:val="clear" w:color="auto" w:fill="auto"/>
            <w:noWrap/>
            <w:vAlign w:val="bottom"/>
            <w:hideMark/>
          </w:tcPr>
          <w:p w14:paraId="1DBDF34C" w14:textId="77777777" w:rsidR="00C2201F" w:rsidRPr="00E56D0A" w:rsidRDefault="00C2201F" w:rsidP="00E70436">
            <w:pPr>
              <w:widowControl w:val="0"/>
              <w:rPr>
                <w:rFonts w:eastAsia="Times New Roman"/>
                <w:color w:val="000000"/>
              </w:rPr>
            </w:pPr>
            <w:r w:rsidRPr="00E56D0A">
              <w:rPr>
                <w:rFonts w:eastAsia="Times New Roman"/>
                <w:color w:val="000000"/>
              </w:rPr>
              <w:t>Note:</w:t>
            </w:r>
            <w:r>
              <w:rPr>
                <w:rFonts w:eastAsia="Times New Roman"/>
                <w:color w:val="000000"/>
              </w:rPr>
              <w:t xml:space="preserve"> </w:t>
            </w:r>
            <w:r w:rsidRPr="00E56D0A">
              <w:rPr>
                <w:rFonts w:eastAsia="Times New Roman"/>
                <w:color w:val="000000"/>
              </w:rPr>
              <w:t xml:space="preserve"> *</w:t>
            </w:r>
            <w:r w:rsidRPr="004455C6">
              <w:rPr>
                <w:rFonts w:eastAsia="Times New Roman"/>
                <w:i/>
                <w:color w:val="000000"/>
              </w:rPr>
              <w:t>p</w:t>
            </w:r>
            <w:r>
              <w:rPr>
                <w:rFonts w:eastAsia="Times New Roman"/>
                <w:color w:val="000000"/>
              </w:rPr>
              <w:t xml:space="preserve"> &lt; .05 **</w:t>
            </w:r>
            <w:r w:rsidRPr="00E56D0A">
              <w:rPr>
                <w:rFonts w:eastAsia="Times New Roman"/>
                <w:i/>
                <w:color w:val="000000"/>
              </w:rPr>
              <w:t>p</w:t>
            </w:r>
            <w:r w:rsidR="00C05E90">
              <w:rPr>
                <w:rFonts w:eastAsia="Times New Roman"/>
                <w:color w:val="000000"/>
              </w:rPr>
              <w:t xml:space="preserve"> &lt; .01 ***</w:t>
            </w:r>
            <w:r w:rsidR="00C05E90" w:rsidRPr="00E56D0A">
              <w:rPr>
                <w:rFonts w:eastAsia="Times New Roman"/>
                <w:i/>
                <w:color w:val="000000"/>
              </w:rPr>
              <w:t>p</w:t>
            </w:r>
            <w:r w:rsidR="00C05E90">
              <w:rPr>
                <w:rFonts w:eastAsia="Times New Roman"/>
                <w:color w:val="000000"/>
              </w:rPr>
              <w:t xml:space="preserve"> &lt; .001</w:t>
            </w:r>
          </w:p>
        </w:tc>
        <w:tc>
          <w:tcPr>
            <w:tcW w:w="990" w:type="dxa"/>
            <w:gridSpan w:val="2"/>
            <w:tcBorders>
              <w:left w:val="nil"/>
              <w:bottom w:val="nil"/>
              <w:right w:val="nil"/>
            </w:tcBorders>
            <w:shd w:val="clear" w:color="auto" w:fill="auto"/>
            <w:noWrap/>
            <w:vAlign w:val="bottom"/>
            <w:hideMark/>
          </w:tcPr>
          <w:p w14:paraId="1B2B7E9B" w14:textId="77777777" w:rsidR="00C2201F" w:rsidRPr="00E56D0A" w:rsidRDefault="00C2201F" w:rsidP="00E70436">
            <w:pPr>
              <w:widowControl w:val="0"/>
              <w:rPr>
                <w:rFonts w:eastAsia="Times New Roman"/>
                <w:color w:val="000000"/>
              </w:rPr>
            </w:pPr>
          </w:p>
        </w:tc>
        <w:tc>
          <w:tcPr>
            <w:tcW w:w="1170" w:type="dxa"/>
            <w:gridSpan w:val="2"/>
            <w:tcBorders>
              <w:left w:val="nil"/>
              <w:bottom w:val="nil"/>
              <w:right w:val="nil"/>
            </w:tcBorders>
            <w:shd w:val="clear" w:color="auto" w:fill="auto"/>
            <w:noWrap/>
            <w:vAlign w:val="bottom"/>
            <w:hideMark/>
          </w:tcPr>
          <w:p w14:paraId="6EA4CB89" w14:textId="77777777" w:rsidR="00C2201F" w:rsidRPr="00E56D0A" w:rsidRDefault="00C2201F" w:rsidP="00E70436">
            <w:pPr>
              <w:widowControl w:val="0"/>
              <w:rPr>
                <w:rFonts w:eastAsia="Times New Roman"/>
                <w:sz w:val="20"/>
                <w:szCs w:val="20"/>
              </w:rPr>
            </w:pPr>
          </w:p>
        </w:tc>
        <w:tc>
          <w:tcPr>
            <w:tcW w:w="990" w:type="dxa"/>
            <w:gridSpan w:val="3"/>
            <w:tcBorders>
              <w:left w:val="nil"/>
              <w:bottom w:val="nil"/>
              <w:right w:val="nil"/>
            </w:tcBorders>
            <w:shd w:val="clear" w:color="auto" w:fill="auto"/>
            <w:noWrap/>
            <w:vAlign w:val="bottom"/>
            <w:hideMark/>
          </w:tcPr>
          <w:p w14:paraId="43212EB2" w14:textId="77777777" w:rsidR="00C2201F" w:rsidRPr="00E56D0A" w:rsidRDefault="00C2201F" w:rsidP="00E70436">
            <w:pPr>
              <w:widowControl w:val="0"/>
              <w:rPr>
                <w:rFonts w:eastAsia="Times New Roman"/>
                <w:sz w:val="20"/>
                <w:szCs w:val="20"/>
              </w:rPr>
            </w:pPr>
          </w:p>
        </w:tc>
        <w:tc>
          <w:tcPr>
            <w:tcW w:w="520" w:type="dxa"/>
            <w:gridSpan w:val="3"/>
            <w:tcBorders>
              <w:left w:val="nil"/>
              <w:bottom w:val="nil"/>
              <w:right w:val="nil"/>
            </w:tcBorders>
          </w:tcPr>
          <w:p w14:paraId="6B093A1A" w14:textId="77777777" w:rsidR="00C2201F" w:rsidRPr="00E56D0A" w:rsidRDefault="00C2201F" w:rsidP="00E70436">
            <w:pPr>
              <w:widowControl w:val="0"/>
              <w:rPr>
                <w:rFonts w:eastAsia="Times New Roman"/>
                <w:sz w:val="20"/>
                <w:szCs w:val="20"/>
              </w:rPr>
            </w:pPr>
          </w:p>
        </w:tc>
        <w:tc>
          <w:tcPr>
            <w:tcW w:w="520" w:type="dxa"/>
            <w:gridSpan w:val="2"/>
            <w:tcBorders>
              <w:left w:val="nil"/>
              <w:bottom w:val="nil"/>
              <w:right w:val="nil"/>
            </w:tcBorders>
          </w:tcPr>
          <w:p w14:paraId="5C06F6AC" w14:textId="77777777" w:rsidR="00C2201F" w:rsidRPr="00E56D0A" w:rsidRDefault="00C2201F" w:rsidP="00E70436">
            <w:pPr>
              <w:widowControl w:val="0"/>
              <w:rPr>
                <w:rFonts w:eastAsia="Times New Roman"/>
                <w:sz w:val="20"/>
                <w:szCs w:val="20"/>
              </w:rPr>
            </w:pPr>
          </w:p>
        </w:tc>
      </w:tr>
    </w:tbl>
    <w:p w14:paraId="256EEB60" w14:textId="77777777" w:rsidR="00BB1516" w:rsidRDefault="00BB1516" w:rsidP="00E70436">
      <w:pPr>
        <w:widowControl w:val="0"/>
      </w:pPr>
      <w:r>
        <w:br w:type="page"/>
      </w:r>
    </w:p>
    <w:p w14:paraId="2B4882FD" w14:textId="77777777" w:rsidR="008565BF" w:rsidRDefault="008565BF" w:rsidP="00E70436">
      <w:pPr>
        <w:widowControl w:val="0"/>
      </w:pPr>
      <w:r>
        <w:lastRenderedPageBreak/>
        <w:t xml:space="preserve">Table </w:t>
      </w:r>
      <w:r w:rsidR="00350A7B">
        <w:t>4</w:t>
      </w:r>
    </w:p>
    <w:p w14:paraId="17D5F7D5" w14:textId="6EB0CDAC" w:rsidR="008565BF" w:rsidRDefault="008565BF" w:rsidP="00E70436">
      <w:pPr>
        <w:widowControl w:val="0"/>
      </w:pPr>
      <w:r>
        <w:rPr>
          <w:i/>
        </w:rPr>
        <w:t xml:space="preserve">Conditional </w:t>
      </w:r>
      <w:r w:rsidR="00117F08">
        <w:rPr>
          <w:i/>
        </w:rPr>
        <w:t>I</w:t>
      </w:r>
      <w:r>
        <w:rPr>
          <w:i/>
        </w:rPr>
        <w:t>ndirect</w:t>
      </w:r>
      <w:r w:rsidR="00117F08">
        <w:rPr>
          <w:i/>
        </w:rPr>
        <w:t xml:space="preserve"> E</w:t>
      </w:r>
      <w:r>
        <w:rPr>
          <w:i/>
        </w:rPr>
        <w:t xml:space="preserve">ffect of </w:t>
      </w:r>
      <w:r w:rsidR="00117F08">
        <w:rPr>
          <w:i/>
        </w:rPr>
        <w:t>P</w:t>
      </w:r>
      <w:r>
        <w:rPr>
          <w:i/>
        </w:rPr>
        <w:t xml:space="preserve">erceived </w:t>
      </w:r>
      <w:r w:rsidR="00117F08">
        <w:rPr>
          <w:i/>
        </w:rPr>
        <w:t>A</w:t>
      </w:r>
      <w:r>
        <w:rPr>
          <w:i/>
        </w:rPr>
        <w:t xml:space="preserve">ttainability on </w:t>
      </w:r>
      <w:r w:rsidR="00117F08">
        <w:rPr>
          <w:i/>
        </w:rPr>
        <w:t>P</w:t>
      </w:r>
      <w:r w:rsidR="007D7CF7">
        <w:rPr>
          <w:i/>
        </w:rPr>
        <w:t xml:space="preserve">osttest </w:t>
      </w:r>
      <w:r w:rsidR="00117F08">
        <w:rPr>
          <w:i/>
        </w:rPr>
        <w:t>I</w:t>
      </w:r>
      <w:r>
        <w:rPr>
          <w:i/>
        </w:rPr>
        <w:t xml:space="preserve">nterest in the </w:t>
      </w:r>
      <w:r w:rsidR="00117F08">
        <w:rPr>
          <w:i/>
        </w:rPr>
        <w:t>C</w:t>
      </w:r>
      <w:r>
        <w:rPr>
          <w:i/>
        </w:rPr>
        <w:t>ounter-</w:t>
      </w:r>
      <w:r w:rsidR="00117F08">
        <w:rPr>
          <w:i/>
        </w:rPr>
        <w:t>S</w:t>
      </w:r>
      <w:r>
        <w:rPr>
          <w:i/>
        </w:rPr>
        <w:t xml:space="preserve">tereotypical </w:t>
      </w:r>
      <w:r w:rsidR="00117F08">
        <w:rPr>
          <w:i/>
        </w:rPr>
        <w:t>C</w:t>
      </w:r>
      <w:r>
        <w:rPr>
          <w:i/>
        </w:rPr>
        <w:t xml:space="preserve">areer via </w:t>
      </w:r>
      <w:r w:rsidR="00117F08">
        <w:rPr>
          <w:i/>
        </w:rPr>
        <w:t>S</w:t>
      </w:r>
      <w:r>
        <w:rPr>
          <w:i/>
        </w:rPr>
        <w:t>elf-</w:t>
      </w:r>
      <w:r w:rsidR="00117F08">
        <w:rPr>
          <w:i/>
        </w:rPr>
        <w:t>I</w:t>
      </w:r>
      <w:r>
        <w:rPr>
          <w:i/>
        </w:rPr>
        <w:t xml:space="preserve">nspiration at </w:t>
      </w:r>
      <w:r w:rsidR="00117F08">
        <w:rPr>
          <w:i/>
        </w:rPr>
        <w:t>D</w:t>
      </w:r>
      <w:r>
        <w:rPr>
          <w:i/>
        </w:rPr>
        <w:t xml:space="preserve">ifferent </w:t>
      </w:r>
      <w:r w:rsidR="00117F08">
        <w:rPr>
          <w:i/>
        </w:rPr>
        <w:t>L</w:t>
      </w:r>
      <w:r>
        <w:rPr>
          <w:i/>
        </w:rPr>
        <w:t xml:space="preserve">evels of </w:t>
      </w:r>
      <w:r w:rsidR="00117F08">
        <w:rPr>
          <w:i/>
        </w:rPr>
        <w:t>R</w:t>
      </w:r>
      <w:r>
        <w:rPr>
          <w:i/>
        </w:rPr>
        <w:t xml:space="preserve">ole </w:t>
      </w:r>
      <w:r w:rsidR="00117F08">
        <w:rPr>
          <w:i/>
        </w:rPr>
        <w:t>M</w:t>
      </w:r>
      <w:r>
        <w:rPr>
          <w:i/>
        </w:rPr>
        <w:t>odel</w:t>
      </w:r>
      <w:r w:rsidR="008B6384">
        <w:rPr>
          <w:i/>
        </w:rPr>
        <w:t xml:space="preserve"> </w:t>
      </w:r>
      <w:r w:rsidR="00117F08">
        <w:rPr>
          <w:i/>
        </w:rPr>
        <w:t>P</w:t>
      </w:r>
      <w:r w:rsidR="008B6384">
        <w:rPr>
          <w:i/>
        </w:rPr>
        <w:t>ortrayals</w:t>
      </w:r>
      <w:r>
        <w:rPr>
          <w:i/>
        </w:rPr>
        <w:t xml:space="preserve"> and </w:t>
      </w:r>
      <w:r w:rsidR="00117F08">
        <w:rPr>
          <w:i/>
        </w:rPr>
        <w:t>F</w:t>
      </w:r>
      <w:r>
        <w:rPr>
          <w:i/>
        </w:rPr>
        <w:t xml:space="preserve">amily </w:t>
      </w:r>
      <w:r w:rsidR="00117F08">
        <w:rPr>
          <w:i/>
        </w:rPr>
        <w:t>L</w:t>
      </w:r>
      <w:r>
        <w:rPr>
          <w:i/>
        </w:rPr>
        <w:t xml:space="preserve">ife </w:t>
      </w:r>
      <w:r w:rsidR="00117F08">
        <w:rPr>
          <w:i/>
        </w:rPr>
        <w:t>R</w:t>
      </w:r>
      <w:r>
        <w:rPr>
          <w:i/>
        </w:rPr>
        <w:t xml:space="preserve">ole </w:t>
      </w:r>
      <w:r w:rsidR="00117F08">
        <w:rPr>
          <w:i/>
        </w:rPr>
        <w:t>S</w:t>
      </w:r>
      <w:r>
        <w:rPr>
          <w:i/>
        </w:rPr>
        <w:t>alience</w:t>
      </w:r>
    </w:p>
    <w:tbl>
      <w:tblPr>
        <w:tblW w:w="9450" w:type="dxa"/>
        <w:tblBorders>
          <w:top w:val="nil"/>
          <w:left w:val="nil"/>
          <w:bottom w:val="nil"/>
          <w:right w:val="nil"/>
          <w:insideH w:val="nil"/>
          <w:insideV w:val="nil"/>
        </w:tblBorders>
        <w:tblLayout w:type="fixed"/>
        <w:tblLook w:val="0400" w:firstRow="0" w:lastRow="0" w:firstColumn="0" w:lastColumn="0" w:noHBand="0" w:noVBand="1"/>
      </w:tblPr>
      <w:tblGrid>
        <w:gridCol w:w="3150"/>
        <w:gridCol w:w="1575"/>
        <w:gridCol w:w="1575"/>
        <w:gridCol w:w="1575"/>
        <w:gridCol w:w="1575"/>
      </w:tblGrid>
      <w:tr w:rsidR="008565BF" w:rsidRPr="00F630DF" w14:paraId="373D83CB" w14:textId="77777777" w:rsidTr="003D7DFF">
        <w:trPr>
          <w:trHeight w:val="672"/>
        </w:trPr>
        <w:tc>
          <w:tcPr>
            <w:tcW w:w="3150" w:type="dxa"/>
            <w:tcBorders>
              <w:top w:val="single" w:sz="4" w:space="0" w:color="000000"/>
            </w:tcBorders>
            <w:vAlign w:val="center"/>
          </w:tcPr>
          <w:p w14:paraId="06916AA4" w14:textId="77777777" w:rsidR="008565BF" w:rsidRPr="00E91D6A" w:rsidRDefault="008565BF" w:rsidP="00E70436">
            <w:pPr>
              <w:widowControl w:val="0"/>
              <w:jc w:val="center"/>
            </w:pPr>
          </w:p>
        </w:tc>
        <w:tc>
          <w:tcPr>
            <w:tcW w:w="1575" w:type="dxa"/>
            <w:tcBorders>
              <w:top w:val="single" w:sz="4" w:space="0" w:color="000000"/>
              <w:bottom w:val="single" w:sz="4" w:space="0" w:color="000000"/>
            </w:tcBorders>
            <w:vAlign w:val="center"/>
          </w:tcPr>
          <w:p w14:paraId="13B4DB44" w14:textId="77777777" w:rsidR="008565BF" w:rsidRPr="008375CA" w:rsidRDefault="008565BF" w:rsidP="00E70436">
            <w:pPr>
              <w:widowControl w:val="0"/>
              <w:jc w:val="center"/>
              <w:rPr>
                <w:i/>
              </w:rPr>
            </w:pPr>
            <w:r w:rsidRPr="008375CA">
              <w:rPr>
                <w:rFonts w:cs="Times New Roman"/>
                <w:i/>
              </w:rPr>
              <w:t>β</w:t>
            </w:r>
          </w:p>
        </w:tc>
        <w:tc>
          <w:tcPr>
            <w:tcW w:w="1575" w:type="dxa"/>
            <w:tcBorders>
              <w:top w:val="single" w:sz="4" w:space="0" w:color="000000"/>
              <w:bottom w:val="single" w:sz="4" w:space="0" w:color="000000"/>
            </w:tcBorders>
            <w:vAlign w:val="center"/>
          </w:tcPr>
          <w:p w14:paraId="1C4C7056" w14:textId="77777777" w:rsidR="008565BF" w:rsidRPr="008375CA" w:rsidRDefault="008565BF" w:rsidP="00E70436">
            <w:pPr>
              <w:widowControl w:val="0"/>
              <w:jc w:val="center"/>
              <w:rPr>
                <w:i/>
              </w:rPr>
            </w:pPr>
            <w:r w:rsidRPr="008375CA">
              <w:rPr>
                <w:i/>
              </w:rPr>
              <w:t>SE</w:t>
            </w:r>
          </w:p>
        </w:tc>
        <w:tc>
          <w:tcPr>
            <w:tcW w:w="1575" w:type="dxa"/>
            <w:tcBorders>
              <w:top w:val="single" w:sz="4" w:space="0" w:color="000000"/>
              <w:bottom w:val="single" w:sz="4" w:space="0" w:color="000000"/>
            </w:tcBorders>
            <w:vAlign w:val="center"/>
          </w:tcPr>
          <w:p w14:paraId="3B7E424C" w14:textId="77777777" w:rsidR="008565BF" w:rsidRDefault="008565BF" w:rsidP="00E70436">
            <w:pPr>
              <w:widowControl w:val="0"/>
              <w:jc w:val="center"/>
            </w:pPr>
            <w:r>
              <w:t>Lower bound CI</w:t>
            </w:r>
          </w:p>
        </w:tc>
        <w:tc>
          <w:tcPr>
            <w:tcW w:w="1575" w:type="dxa"/>
            <w:tcBorders>
              <w:top w:val="single" w:sz="4" w:space="0" w:color="000000"/>
              <w:bottom w:val="single" w:sz="4" w:space="0" w:color="000000"/>
            </w:tcBorders>
            <w:vAlign w:val="center"/>
          </w:tcPr>
          <w:p w14:paraId="75C23A25" w14:textId="77777777" w:rsidR="008565BF" w:rsidRDefault="008565BF" w:rsidP="00E70436">
            <w:pPr>
              <w:widowControl w:val="0"/>
              <w:jc w:val="center"/>
            </w:pPr>
            <w:r>
              <w:t>Upper bound CI</w:t>
            </w:r>
          </w:p>
        </w:tc>
      </w:tr>
      <w:tr w:rsidR="008565BF" w:rsidRPr="00F630DF" w14:paraId="23C277C7" w14:textId="77777777" w:rsidTr="003D7DFF">
        <w:trPr>
          <w:trHeight w:val="672"/>
        </w:trPr>
        <w:tc>
          <w:tcPr>
            <w:tcW w:w="3150" w:type="dxa"/>
            <w:tcBorders>
              <w:top w:val="single" w:sz="4" w:space="0" w:color="000000"/>
              <w:bottom w:val="nil"/>
            </w:tcBorders>
          </w:tcPr>
          <w:p w14:paraId="4DF5E161" w14:textId="77777777" w:rsidR="008565BF" w:rsidRPr="00E91D6A" w:rsidRDefault="00ED00B1" w:rsidP="00E70436">
            <w:pPr>
              <w:widowControl w:val="0"/>
            </w:pPr>
            <w:r>
              <w:t>Feminine</w:t>
            </w:r>
            <w:r w:rsidR="008565BF">
              <w:t xml:space="preserve"> role models</w:t>
            </w:r>
          </w:p>
        </w:tc>
        <w:tc>
          <w:tcPr>
            <w:tcW w:w="1575" w:type="dxa"/>
            <w:tcBorders>
              <w:top w:val="single" w:sz="4" w:space="0" w:color="000000"/>
              <w:bottom w:val="nil"/>
            </w:tcBorders>
          </w:tcPr>
          <w:p w14:paraId="6CD42FE2" w14:textId="77777777" w:rsidR="008565BF" w:rsidRPr="00880E85" w:rsidRDefault="008565BF" w:rsidP="00E70436">
            <w:pPr>
              <w:widowControl w:val="0"/>
              <w:jc w:val="center"/>
              <w:rPr>
                <w:i/>
              </w:rPr>
            </w:pPr>
          </w:p>
        </w:tc>
        <w:tc>
          <w:tcPr>
            <w:tcW w:w="1575" w:type="dxa"/>
            <w:tcBorders>
              <w:top w:val="single" w:sz="4" w:space="0" w:color="000000"/>
              <w:bottom w:val="nil"/>
            </w:tcBorders>
          </w:tcPr>
          <w:p w14:paraId="233DF5A7" w14:textId="77777777" w:rsidR="008565BF" w:rsidRPr="00880E85" w:rsidRDefault="008565BF" w:rsidP="00E70436">
            <w:pPr>
              <w:widowControl w:val="0"/>
              <w:jc w:val="center"/>
              <w:rPr>
                <w:i/>
              </w:rPr>
            </w:pPr>
          </w:p>
        </w:tc>
        <w:tc>
          <w:tcPr>
            <w:tcW w:w="1575" w:type="dxa"/>
            <w:tcBorders>
              <w:top w:val="single" w:sz="4" w:space="0" w:color="000000"/>
              <w:bottom w:val="nil"/>
            </w:tcBorders>
          </w:tcPr>
          <w:p w14:paraId="1B05C796" w14:textId="77777777" w:rsidR="008565BF" w:rsidRPr="00880E85" w:rsidRDefault="008565BF" w:rsidP="00E70436">
            <w:pPr>
              <w:widowControl w:val="0"/>
              <w:jc w:val="center"/>
              <w:rPr>
                <w:i/>
              </w:rPr>
            </w:pPr>
          </w:p>
        </w:tc>
        <w:tc>
          <w:tcPr>
            <w:tcW w:w="1575" w:type="dxa"/>
            <w:tcBorders>
              <w:top w:val="single" w:sz="4" w:space="0" w:color="000000"/>
              <w:bottom w:val="nil"/>
            </w:tcBorders>
          </w:tcPr>
          <w:p w14:paraId="47C676A5" w14:textId="77777777" w:rsidR="008565BF" w:rsidRPr="00880E85" w:rsidRDefault="008565BF" w:rsidP="00E70436">
            <w:pPr>
              <w:widowControl w:val="0"/>
              <w:jc w:val="center"/>
              <w:rPr>
                <w:i/>
              </w:rPr>
            </w:pPr>
          </w:p>
        </w:tc>
      </w:tr>
      <w:tr w:rsidR="008565BF" w:rsidRPr="00F630DF" w14:paraId="1CF3016A" w14:textId="77777777" w:rsidTr="003D7DFF">
        <w:trPr>
          <w:trHeight w:val="672"/>
        </w:trPr>
        <w:tc>
          <w:tcPr>
            <w:tcW w:w="3150" w:type="dxa"/>
            <w:tcBorders>
              <w:top w:val="nil"/>
              <w:left w:val="nil"/>
              <w:bottom w:val="nil"/>
              <w:right w:val="nil"/>
            </w:tcBorders>
            <w:vAlign w:val="center"/>
          </w:tcPr>
          <w:p w14:paraId="7679CCFB" w14:textId="77777777" w:rsidR="008565BF" w:rsidRPr="00E91D6A" w:rsidRDefault="008565BF" w:rsidP="00E70436">
            <w:pPr>
              <w:widowControl w:val="0"/>
              <w:ind w:left="252"/>
            </w:pPr>
            <w:r>
              <w:t>High family role salience</w:t>
            </w:r>
          </w:p>
        </w:tc>
        <w:tc>
          <w:tcPr>
            <w:tcW w:w="1575" w:type="dxa"/>
            <w:tcBorders>
              <w:top w:val="nil"/>
              <w:left w:val="nil"/>
              <w:bottom w:val="nil"/>
              <w:right w:val="nil"/>
            </w:tcBorders>
            <w:vAlign w:val="center"/>
          </w:tcPr>
          <w:p w14:paraId="39B9A229" w14:textId="77777777" w:rsidR="008565BF" w:rsidRPr="00E91D6A" w:rsidRDefault="004E51C4" w:rsidP="00E70436">
            <w:pPr>
              <w:widowControl w:val="0"/>
              <w:jc w:val="center"/>
            </w:pPr>
            <w:r>
              <w:t>-</w:t>
            </w:r>
            <w:r w:rsidR="00660518">
              <w:t>1</w:t>
            </w:r>
            <w:r>
              <w:t>.</w:t>
            </w:r>
            <w:r w:rsidR="00660518">
              <w:t>75</w:t>
            </w:r>
          </w:p>
        </w:tc>
        <w:tc>
          <w:tcPr>
            <w:tcW w:w="1575" w:type="dxa"/>
            <w:tcBorders>
              <w:top w:val="nil"/>
              <w:left w:val="nil"/>
              <w:bottom w:val="nil"/>
              <w:right w:val="nil"/>
            </w:tcBorders>
            <w:vAlign w:val="center"/>
          </w:tcPr>
          <w:p w14:paraId="218EC4CE" w14:textId="77777777" w:rsidR="008565BF" w:rsidRPr="00E91D6A" w:rsidRDefault="004E51C4" w:rsidP="00E70436">
            <w:pPr>
              <w:widowControl w:val="0"/>
              <w:jc w:val="center"/>
            </w:pPr>
            <w:r>
              <w:t>1.</w:t>
            </w:r>
            <w:r w:rsidR="00660518">
              <w:t>61</w:t>
            </w:r>
          </w:p>
        </w:tc>
        <w:tc>
          <w:tcPr>
            <w:tcW w:w="1575" w:type="dxa"/>
            <w:tcBorders>
              <w:top w:val="nil"/>
              <w:left w:val="nil"/>
              <w:bottom w:val="nil"/>
              <w:right w:val="nil"/>
            </w:tcBorders>
          </w:tcPr>
          <w:p w14:paraId="7D20D85E" w14:textId="77777777" w:rsidR="008565BF" w:rsidRDefault="004E51C4" w:rsidP="00E70436">
            <w:pPr>
              <w:widowControl w:val="0"/>
              <w:jc w:val="center"/>
            </w:pPr>
            <w:r>
              <w:t>-</w:t>
            </w:r>
            <w:r w:rsidR="00660518">
              <w:t>5</w:t>
            </w:r>
            <w:r>
              <w:t>.9</w:t>
            </w:r>
            <w:r w:rsidR="00660518">
              <w:t>3</w:t>
            </w:r>
          </w:p>
        </w:tc>
        <w:tc>
          <w:tcPr>
            <w:tcW w:w="1575" w:type="dxa"/>
            <w:tcBorders>
              <w:top w:val="nil"/>
              <w:left w:val="nil"/>
              <w:bottom w:val="nil"/>
              <w:right w:val="nil"/>
            </w:tcBorders>
          </w:tcPr>
          <w:p w14:paraId="70197D90" w14:textId="77777777" w:rsidR="008565BF" w:rsidRDefault="00660518" w:rsidP="00E70436">
            <w:pPr>
              <w:widowControl w:val="0"/>
              <w:jc w:val="center"/>
            </w:pPr>
            <w:r>
              <w:t>.63</w:t>
            </w:r>
          </w:p>
        </w:tc>
      </w:tr>
      <w:tr w:rsidR="008565BF" w:rsidRPr="00F630DF" w14:paraId="1BBA5514" w14:textId="77777777" w:rsidTr="003D7DFF">
        <w:trPr>
          <w:trHeight w:val="672"/>
        </w:trPr>
        <w:tc>
          <w:tcPr>
            <w:tcW w:w="3150" w:type="dxa"/>
            <w:tcBorders>
              <w:top w:val="nil"/>
            </w:tcBorders>
            <w:vAlign w:val="center"/>
          </w:tcPr>
          <w:p w14:paraId="3189FBFA" w14:textId="77777777" w:rsidR="008565BF" w:rsidRDefault="008565BF" w:rsidP="00E70436">
            <w:pPr>
              <w:widowControl w:val="0"/>
              <w:ind w:left="252"/>
            </w:pPr>
            <w:r>
              <w:t>Low family role salience</w:t>
            </w:r>
          </w:p>
        </w:tc>
        <w:tc>
          <w:tcPr>
            <w:tcW w:w="1575" w:type="dxa"/>
            <w:tcBorders>
              <w:top w:val="nil"/>
            </w:tcBorders>
            <w:vAlign w:val="center"/>
          </w:tcPr>
          <w:p w14:paraId="15946FB4" w14:textId="77777777" w:rsidR="008565BF" w:rsidRDefault="00660518" w:rsidP="00E70436">
            <w:pPr>
              <w:widowControl w:val="0"/>
              <w:jc w:val="center"/>
            </w:pPr>
            <w:r>
              <w:t>3.43</w:t>
            </w:r>
          </w:p>
        </w:tc>
        <w:tc>
          <w:tcPr>
            <w:tcW w:w="1575" w:type="dxa"/>
            <w:tcBorders>
              <w:top w:val="nil"/>
            </w:tcBorders>
            <w:vAlign w:val="center"/>
          </w:tcPr>
          <w:p w14:paraId="7A8E039C" w14:textId="77777777" w:rsidR="008565BF" w:rsidRDefault="004E51C4" w:rsidP="00E70436">
            <w:pPr>
              <w:widowControl w:val="0"/>
              <w:jc w:val="center"/>
            </w:pPr>
            <w:r>
              <w:t>1.</w:t>
            </w:r>
            <w:r w:rsidR="00660518">
              <w:t>74</w:t>
            </w:r>
          </w:p>
        </w:tc>
        <w:tc>
          <w:tcPr>
            <w:tcW w:w="1575" w:type="dxa"/>
            <w:tcBorders>
              <w:top w:val="nil"/>
            </w:tcBorders>
          </w:tcPr>
          <w:p w14:paraId="352D72DB" w14:textId="77777777" w:rsidR="008565BF" w:rsidRDefault="004E51C4" w:rsidP="00E70436">
            <w:pPr>
              <w:widowControl w:val="0"/>
              <w:jc w:val="center"/>
            </w:pPr>
            <w:r>
              <w:t>.</w:t>
            </w:r>
            <w:r w:rsidR="00660518">
              <w:t>8</w:t>
            </w:r>
            <w:r>
              <w:t>3</w:t>
            </w:r>
          </w:p>
        </w:tc>
        <w:tc>
          <w:tcPr>
            <w:tcW w:w="1575" w:type="dxa"/>
            <w:tcBorders>
              <w:top w:val="nil"/>
            </w:tcBorders>
          </w:tcPr>
          <w:p w14:paraId="2B9C06B7" w14:textId="77777777" w:rsidR="008565BF" w:rsidRDefault="00660518" w:rsidP="00E70436">
            <w:pPr>
              <w:widowControl w:val="0"/>
              <w:jc w:val="center"/>
            </w:pPr>
            <w:r>
              <w:t>8</w:t>
            </w:r>
            <w:r w:rsidR="004E51C4">
              <w:t>.07</w:t>
            </w:r>
          </w:p>
        </w:tc>
      </w:tr>
      <w:tr w:rsidR="008565BF" w:rsidRPr="00880E85" w14:paraId="295803D9" w14:textId="77777777" w:rsidTr="003D7DFF">
        <w:trPr>
          <w:trHeight w:val="672"/>
        </w:trPr>
        <w:tc>
          <w:tcPr>
            <w:tcW w:w="3150" w:type="dxa"/>
            <w:tcBorders>
              <w:top w:val="single" w:sz="4" w:space="0" w:color="000000"/>
              <w:bottom w:val="nil"/>
            </w:tcBorders>
          </w:tcPr>
          <w:p w14:paraId="565E9564" w14:textId="77777777" w:rsidR="008565BF" w:rsidRPr="00E91D6A" w:rsidRDefault="008A308B" w:rsidP="00E70436">
            <w:pPr>
              <w:widowControl w:val="0"/>
            </w:pPr>
            <w:r>
              <w:t>Neutral</w:t>
            </w:r>
            <w:r w:rsidR="008565BF">
              <w:t xml:space="preserve"> role models</w:t>
            </w:r>
          </w:p>
        </w:tc>
        <w:tc>
          <w:tcPr>
            <w:tcW w:w="1575" w:type="dxa"/>
            <w:tcBorders>
              <w:top w:val="single" w:sz="4" w:space="0" w:color="000000"/>
              <w:bottom w:val="nil"/>
            </w:tcBorders>
          </w:tcPr>
          <w:p w14:paraId="0595EEDB" w14:textId="77777777" w:rsidR="008565BF" w:rsidRPr="00880E85" w:rsidRDefault="008565BF" w:rsidP="00E70436">
            <w:pPr>
              <w:widowControl w:val="0"/>
              <w:jc w:val="center"/>
              <w:rPr>
                <w:i/>
              </w:rPr>
            </w:pPr>
          </w:p>
        </w:tc>
        <w:tc>
          <w:tcPr>
            <w:tcW w:w="1575" w:type="dxa"/>
            <w:tcBorders>
              <w:top w:val="single" w:sz="4" w:space="0" w:color="000000"/>
              <w:bottom w:val="nil"/>
            </w:tcBorders>
          </w:tcPr>
          <w:p w14:paraId="63F8ECA5" w14:textId="77777777" w:rsidR="008565BF" w:rsidRPr="00880E85" w:rsidRDefault="008565BF" w:rsidP="00E70436">
            <w:pPr>
              <w:widowControl w:val="0"/>
              <w:jc w:val="center"/>
              <w:rPr>
                <w:i/>
              </w:rPr>
            </w:pPr>
          </w:p>
        </w:tc>
        <w:tc>
          <w:tcPr>
            <w:tcW w:w="1575" w:type="dxa"/>
            <w:tcBorders>
              <w:top w:val="single" w:sz="4" w:space="0" w:color="000000"/>
              <w:bottom w:val="nil"/>
            </w:tcBorders>
          </w:tcPr>
          <w:p w14:paraId="5F9B72C5" w14:textId="77777777" w:rsidR="008565BF" w:rsidRPr="00880E85" w:rsidRDefault="008565BF" w:rsidP="00E70436">
            <w:pPr>
              <w:widowControl w:val="0"/>
              <w:jc w:val="center"/>
              <w:rPr>
                <w:i/>
              </w:rPr>
            </w:pPr>
          </w:p>
        </w:tc>
        <w:tc>
          <w:tcPr>
            <w:tcW w:w="1575" w:type="dxa"/>
            <w:tcBorders>
              <w:top w:val="single" w:sz="4" w:space="0" w:color="000000"/>
              <w:bottom w:val="nil"/>
            </w:tcBorders>
          </w:tcPr>
          <w:p w14:paraId="698EE0EE" w14:textId="77777777" w:rsidR="008565BF" w:rsidRPr="00880E85" w:rsidRDefault="008565BF" w:rsidP="00E70436">
            <w:pPr>
              <w:widowControl w:val="0"/>
              <w:jc w:val="center"/>
              <w:rPr>
                <w:i/>
              </w:rPr>
            </w:pPr>
          </w:p>
        </w:tc>
      </w:tr>
      <w:tr w:rsidR="008565BF" w:rsidRPr="00E91D6A" w14:paraId="0007FBCA" w14:textId="77777777" w:rsidTr="003D7DFF">
        <w:trPr>
          <w:trHeight w:val="672"/>
        </w:trPr>
        <w:tc>
          <w:tcPr>
            <w:tcW w:w="3150" w:type="dxa"/>
            <w:tcBorders>
              <w:top w:val="nil"/>
              <w:left w:val="nil"/>
              <w:bottom w:val="nil"/>
              <w:right w:val="nil"/>
            </w:tcBorders>
            <w:vAlign w:val="center"/>
          </w:tcPr>
          <w:p w14:paraId="30985933" w14:textId="77777777" w:rsidR="008565BF" w:rsidRPr="00E91D6A" w:rsidRDefault="008565BF" w:rsidP="00E70436">
            <w:pPr>
              <w:widowControl w:val="0"/>
              <w:ind w:left="252"/>
            </w:pPr>
            <w:r>
              <w:t>High family role salience</w:t>
            </w:r>
          </w:p>
        </w:tc>
        <w:tc>
          <w:tcPr>
            <w:tcW w:w="1575" w:type="dxa"/>
            <w:tcBorders>
              <w:top w:val="nil"/>
              <w:left w:val="nil"/>
              <w:bottom w:val="nil"/>
              <w:right w:val="nil"/>
            </w:tcBorders>
            <w:vAlign w:val="center"/>
          </w:tcPr>
          <w:p w14:paraId="5FA2CA4C" w14:textId="77777777" w:rsidR="008565BF" w:rsidRPr="00E91D6A" w:rsidRDefault="00660518" w:rsidP="00E70436">
            <w:pPr>
              <w:widowControl w:val="0"/>
              <w:jc w:val="center"/>
            </w:pPr>
            <w:r>
              <w:t>2.51</w:t>
            </w:r>
          </w:p>
        </w:tc>
        <w:tc>
          <w:tcPr>
            <w:tcW w:w="1575" w:type="dxa"/>
            <w:tcBorders>
              <w:top w:val="nil"/>
              <w:left w:val="nil"/>
              <w:bottom w:val="nil"/>
              <w:right w:val="nil"/>
            </w:tcBorders>
            <w:vAlign w:val="center"/>
          </w:tcPr>
          <w:p w14:paraId="0337BE79" w14:textId="77777777" w:rsidR="008565BF" w:rsidRPr="00E91D6A" w:rsidRDefault="004E51C4" w:rsidP="00E70436">
            <w:pPr>
              <w:widowControl w:val="0"/>
              <w:jc w:val="center"/>
            </w:pPr>
            <w:r>
              <w:t>1.</w:t>
            </w:r>
            <w:r w:rsidR="00660518">
              <w:t>5</w:t>
            </w:r>
            <w:r>
              <w:t>3</w:t>
            </w:r>
          </w:p>
        </w:tc>
        <w:tc>
          <w:tcPr>
            <w:tcW w:w="1575" w:type="dxa"/>
            <w:tcBorders>
              <w:top w:val="nil"/>
              <w:left w:val="nil"/>
              <w:bottom w:val="nil"/>
              <w:right w:val="nil"/>
            </w:tcBorders>
          </w:tcPr>
          <w:p w14:paraId="0C92DAE9" w14:textId="77777777" w:rsidR="008565BF" w:rsidRDefault="004E51C4" w:rsidP="00E70436">
            <w:pPr>
              <w:widowControl w:val="0"/>
              <w:jc w:val="center"/>
            </w:pPr>
            <w:r>
              <w:t>.</w:t>
            </w:r>
            <w:r w:rsidR="00660518">
              <w:t>17</w:t>
            </w:r>
          </w:p>
        </w:tc>
        <w:tc>
          <w:tcPr>
            <w:tcW w:w="1575" w:type="dxa"/>
            <w:tcBorders>
              <w:top w:val="nil"/>
              <w:left w:val="nil"/>
              <w:bottom w:val="nil"/>
              <w:right w:val="nil"/>
            </w:tcBorders>
          </w:tcPr>
          <w:p w14:paraId="78E4E3E7" w14:textId="77777777" w:rsidR="008565BF" w:rsidRDefault="00660518" w:rsidP="00E70436">
            <w:pPr>
              <w:widowControl w:val="0"/>
              <w:jc w:val="center"/>
            </w:pPr>
            <w:r>
              <w:t>6.40</w:t>
            </w:r>
          </w:p>
        </w:tc>
      </w:tr>
      <w:tr w:rsidR="008565BF" w:rsidRPr="00E91D6A" w14:paraId="3F99EAD8" w14:textId="77777777" w:rsidTr="003D7DFF">
        <w:trPr>
          <w:trHeight w:val="672"/>
        </w:trPr>
        <w:tc>
          <w:tcPr>
            <w:tcW w:w="3150" w:type="dxa"/>
            <w:tcBorders>
              <w:top w:val="nil"/>
              <w:bottom w:val="single" w:sz="4" w:space="0" w:color="auto"/>
            </w:tcBorders>
            <w:vAlign w:val="center"/>
          </w:tcPr>
          <w:p w14:paraId="4D5327B5" w14:textId="77777777" w:rsidR="008565BF" w:rsidRDefault="008565BF" w:rsidP="00E70436">
            <w:pPr>
              <w:widowControl w:val="0"/>
              <w:ind w:left="252"/>
            </w:pPr>
            <w:r>
              <w:t>Low family role salience</w:t>
            </w:r>
          </w:p>
        </w:tc>
        <w:tc>
          <w:tcPr>
            <w:tcW w:w="1575" w:type="dxa"/>
            <w:tcBorders>
              <w:top w:val="nil"/>
              <w:bottom w:val="single" w:sz="4" w:space="0" w:color="auto"/>
            </w:tcBorders>
            <w:vAlign w:val="center"/>
          </w:tcPr>
          <w:p w14:paraId="0A2734DB" w14:textId="77777777" w:rsidR="008565BF" w:rsidRDefault="004E51C4" w:rsidP="00E70436">
            <w:pPr>
              <w:widowControl w:val="0"/>
              <w:jc w:val="center"/>
            </w:pPr>
            <w:r>
              <w:t>-.74</w:t>
            </w:r>
          </w:p>
        </w:tc>
        <w:tc>
          <w:tcPr>
            <w:tcW w:w="1575" w:type="dxa"/>
            <w:tcBorders>
              <w:top w:val="nil"/>
              <w:bottom w:val="single" w:sz="4" w:space="0" w:color="auto"/>
            </w:tcBorders>
            <w:vAlign w:val="center"/>
          </w:tcPr>
          <w:p w14:paraId="1D237E77" w14:textId="77777777" w:rsidR="008565BF" w:rsidRDefault="004E51C4" w:rsidP="00E70436">
            <w:pPr>
              <w:widowControl w:val="0"/>
              <w:jc w:val="center"/>
            </w:pPr>
            <w:r>
              <w:t>1.</w:t>
            </w:r>
            <w:r w:rsidR="00660518">
              <w:t>99</w:t>
            </w:r>
          </w:p>
        </w:tc>
        <w:tc>
          <w:tcPr>
            <w:tcW w:w="1575" w:type="dxa"/>
            <w:tcBorders>
              <w:top w:val="nil"/>
              <w:bottom w:val="single" w:sz="4" w:space="0" w:color="auto"/>
            </w:tcBorders>
          </w:tcPr>
          <w:p w14:paraId="75B76AF4" w14:textId="77777777" w:rsidR="008565BF" w:rsidRDefault="004E51C4" w:rsidP="00E70436">
            <w:pPr>
              <w:widowControl w:val="0"/>
              <w:jc w:val="center"/>
            </w:pPr>
            <w:r>
              <w:t>-</w:t>
            </w:r>
            <w:r w:rsidR="00660518">
              <w:t>5</w:t>
            </w:r>
            <w:r>
              <w:t>.</w:t>
            </w:r>
            <w:r w:rsidR="00660518">
              <w:t>78</w:t>
            </w:r>
          </w:p>
        </w:tc>
        <w:tc>
          <w:tcPr>
            <w:tcW w:w="1575" w:type="dxa"/>
            <w:tcBorders>
              <w:top w:val="nil"/>
              <w:bottom w:val="single" w:sz="4" w:space="0" w:color="auto"/>
            </w:tcBorders>
          </w:tcPr>
          <w:p w14:paraId="188EF6AC" w14:textId="77777777" w:rsidR="008565BF" w:rsidRDefault="00660518" w:rsidP="00E70436">
            <w:pPr>
              <w:widowControl w:val="0"/>
              <w:jc w:val="center"/>
            </w:pPr>
            <w:r>
              <w:t>2.30</w:t>
            </w:r>
          </w:p>
        </w:tc>
      </w:tr>
    </w:tbl>
    <w:p w14:paraId="0ED32974" w14:textId="77777777" w:rsidR="00EC5E36" w:rsidRDefault="00EC5E36" w:rsidP="00E70436">
      <w:pPr>
        <w:widowControl w:val="0"/>
      </w:pPr>
    </w:p>
    <w:p w14:paraId="55E9F778" w14:textId="77777777" w:rsidR="00EC5E36" w:rsidRDefault="00EC5E36" w:rsidP="00E70436">
      <w:pPr>
        <w:widowControl w:val="0"/>
      </w:pPr>
      <w:r>
        <w:br w:type="page"/>
      </w:r>
    </w:p>
    <w:p w14:paraId="0BC79681" w14:textId="77777777" w:rsidR="003554D9" w:rsidRPr="003554D9" w:rsidRDefault="00EC5E36" w:rsidP="00E70436">
      <w:pPr>
        <w:widowControl w:val="0"/>
        <w:jc w:val="center"/>
      </w:pPr>
      <w:r>
        <w:lastRenderedPageBreak/>
        <w:t>Endnote</w:t>
      </w:r>
    </w:p>
    <w:sectPr w:rsidR="003554D9" w:rsidRPr="003554D9" w:rsidSect="00441FE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3652F1" w14:textId="77777777" w:rsidR="00DB002C" w:rsidRDefault="00DB002C" w:rsidP="00936EDC">
      <w:pPr>
        <w:spacing w:line="240" w:lineRule="auto"/>
      </w:pPr>
      <w:r>
        <w:separator/>
      </w:r>
    </w:p>
  </w:endnote>
  <w:endnote w:type="continuationSeparator" w:id="0">
    <w:p w14:paraId="4E6B5E41" w14:textId="77777777" w:rsidR="00DB002C" w:rsidRDefault="00DB002C" w:rsidP="00936EDC">
      <w:pPr>
        <w:spacing w:line="240" w:lineRule="auto"/>
      </w:pPr>
      <w:r>
        <w:continuationSeparator/>
      </w:r>
    </w:p>
  </w:endnote>
  <w:endnote w:id="1">
    <w:p w14:paraId="13A4CCA6" w14:textId="77777777" w:rsidR="003779CE" w:rsidRDefault="003779CE" w:rsidP="003A69DA">
      <w:pPr>
        <w:pStyle w:val="CommentText"/>
        <w:spacing w:line="480" w:lineRule="auto"/>
        <w:ind w:left="360" w:hanging="360"/>
        <w:rPr>
          <w:rFonts w:cs="Times New Roman"/>
          <w:sz w:val="24"/>
          <w:szCs w:val="24"/>
        </w:rPr>
      </w:pPr>
      <w:r>
        <w:rPr>
          <w:rStyle w:val="EndnoteReference"/>
        </w:rPr>
        <w:endnoteRef/>
      </w:r>
      <w:r>
        <w:t xml:space="preserve">     </w:t>
      </w:r>
      <w:r w:rsidRPr="00627C18">
        <w:rPr>
          <w:sz w:val="24"/>
          <w:szCs w:val="24"/>
        </w:rPr>
        <w:t>In preparation of the main study and to identify relevant theoretical frameworks,</w:t>
      </w:r>
      <w:r w:rsidRPr="00EC5E36">
        <w:rPr>
          <w:sz w:val="24"/>
          <w:szCs w:val="24"/>
        </w:rPr>
        <w:t xml:space="preserve"> a</w:t>
      </w:r>
      <w:r w:rsidRPr="00EC5E36">
        <w:rPr>
          <w:rFonts w:cs="Times New Roman"/>
          <w:sz w:val="24"/>
          <w:szCs w:val="24"/>
        </w:rPr>
        <w:t xml:space="preserve"> series of exploratory qualitative interviews (</w:t>
      </w:r>
      <w:r w:rsidRPr="00EC5E36">
        <w:rPr>
          <w:rFonts w:cs="Times New Roman"/>
          <w:i/>
          <w:sz w:val="24"/>
          <w:szCs w:val="24"/>
        </w:rPr>
        <w:t>N</w:t>
      </w:r>
      <w:r w:rsidRPr="00EC5E36">
        <w:rPr>
          <w:rFonts w:cs="Times New Roman"/>
          <w:sz w:val="24"/>
          <w:szCs w:val="24"/>
        </w:rPr>
        <w:t xml:space="preserve"> = 6) was conducted with students who were currently pursuing a veterinary</w:t>
      </w:r>
      <w:r w:rsidRPr="001E6AA9">
        <w:rPr>
          <w:rFonts w:cs="Times New Roman"/>
          <w:sz w:val="24"/>
          <w:szCs w:val="24"/>
        </w:rPr>
        <w:t xml:space="preserve"> medicine degree and who had an interest in research and research careers. The sample consisted of 4 women and 2 </w:t>
      </w:r>
      <w:r>
        <w:rPr>
          <w:rFonts w:cs="Times New Roman"/>
          <w:sz w:val="24"/>
          <w:szCs w:val="24"/>
        </w:rPr>
        <w:t>men</w:t>
      </w:r>
      <w:r w:rsidRPr="001E6AA9">
        <w:rPr>
          <w:rFonts w:cs="Times New Roman"/>
          <w:sz w:val="24"/>
          <w:szCs w:val="24"/>
        </w:rPr>
        <w:t>, ages ranging from 23 to 28 years old. These interviews took place before the quantitative study was designed and conducted. Participants were asked open-ended questions regard</w:t>
      </w:r>
      <w:r>
        <w:rPr>
          <w:rFonts w:cs="Times New Roman"/>
          <w:sz w:val="24"/>
          <w:szCs w:val="24"/>
        </w:rPr>
        <w:t>ing</w:t>
      </w:r>
      <w:r w:rsidRPr="001E6AA9">
        <w:rPr>
          <w:rFonts w:cs="Times New Roman"/>
          <w:sz w:val="24"/>
          <w:szCs w:val="24"/>
        </w:rPr>
        <w:t xml:space="preserve"> current and future academic and career plans, what opportunities and challenges they had faced or </w:t>
      </w:r>
      <w:r>
        <w:rPr>
          <w:rFonts w:cs="Times New Roman"/>
          <w:sz w:val="24"/>
          <w:szCs w:val="24"/>
        </w:rPr>
        <w:t>anticipated</w:t>
      </w:r>
      <w:r w:rsidRPr="001E6AA9">
        <w:rPr>
          <w:rFonts w:cs="Times New Roman"/>
          <w:sz w:val="24"/>
          <w:szCs w:val="24"/>
        </w:rPr>
        <w:t xml:space="preserve"> in pursuing these plans, and what factors made them more or less likely to follow a research career. The wordings of the questions did not mention any specific factor or concern to avoid priming participants. Follow-up questions were asked after participants had brought up specific factors or concerns themselves. The interviews were conducted and transcribed by the lead author. Mentions or current or future career-family or career-romance conflicts were coded.</w:t>
      </w:r>
      <w:r>
        <w:rPr>
          <w:rFonts w:cs="Times New Roman"/>
          <w:sz w:val="24"/>
          <w:szCs w:val="24"/>
        </w:rPr>
        <w:br/>
        <w:t>Three of the four female participants anticipated future conflicts between having a family and having a research career, and indicated that such conflict made them hesitant about pursing this career path. Two of the three female participants were concerned with having to delay starting a family and having children until their thirties if they were to pursue a research career, and indicated that such a late start would be undesirable. The other female participant indicated that she was single, and being in veterinary school made it hard to find a romantic partner. Both male participants brought up past or current romantic struggles: one participant recently broke up with his girlfriend, and the other was in a long-distance relationship; but neither participant indicated concerns for future career-family conflict.</w:t>
      </w:r>
    </w:p>
    <w:p w14:paraId="344BBADF" w14:textId="77777777" w:rsidR="003779CE" w:rsidRDefault="003779CE">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7BA41F" w14:textId="77777777" w:rsidR="00DB002C" w:rsidRDefault="00DB002C" w:rsidP="00936EDC">
      <w:pPr>
        <w:spacing w:line="240" w:lineRule="auto"/>
      </w:pPr>
      <w:r>
        <w:separator/>
      </w:r>
    </w:p>
  </w:footnote>
  <w:footnote w:type="continuationSeparator" w:id="0">
    <w:p w14:paraId="733FAE92" w14:textId="77777777" w:rsidR="00DB002C" w:rsidRDefault="00DB002C" w:rsidP="00936ED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436933"/>
      <w:docPartObj>
        <w:docPartGallery w:val="Page Numbers (Top of Page)"/>
        <w:docPartUnique/>
      </w:docPartObj>
    </w:sdtPr>
    <w:sdtEndPr>
      <w:rPr>
        <w:noProof/>
      </w:rPr>
    </w:sdtEndPr>
    <w:sdtContent>
      <w:p w14:paraId="010B4B81" w14:textId="77777777" w:rsidR="003779CE" w:rsidRDefault="003779CE" w:rsidP="008375CA">
        <w:pPr>
          <w:pStyle w:val="Header"/>
        </w:pPr>
        <w:r>
          <w:t>ATTAINABILITY &amp; MEDIA ROLE MODELS</w:t>
        </w:r>
        <w:r>
          <w:tab/>
        </w:r>
        <w:r>
          <w:tab/>
        </w:r>
        <w:r>
          <w:fldChar w:fldCharType="begin"/>
        </w:r>
        <w:r>
          <w:instrText xml:space="preserve"> PAGE   \* MERGEFORMAT </w:instrText>
        </w:r>
        <w:r>
          <w:fldChar w:fldCharType="separate"/>
        </w:r>
        <w:r>
          <w:rPr>
            <w:noProof/>
          </w:rPr>
          <w:t>36</w:t>
        </w:r>
        <w:r>
          <w:rPr>
            <w:noProof/>
          </w:rPr>
          <w:fldChar w:fldCharType="end"/>
        </w:r>
      </w:p>
    </w:sdtContent>
  </w:sdt>
  <w:p w14:paraId="295C4073" w14:textId="77777777" w:rsidR="003779CE" w:rsidRDefault="003779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8EC8BE" w14:textId="77777777" w:rsidR="003779CE" w:rsidRDefault="003779CE">
    <w:pPr>
      <w:pStyle w:val="Header"/>
    </w:pPr>
    <w:bookmarkStart w:id="12" w:name="_Hlk500235696"/>
    <w:r>
      <w:t>ATTAINABILITY &amp; MEDIA ROLE MODELS</w:t>
    </w:r>
    <w:bookmarkEnd w:id="12"/>
    <w:r>
      <w:tab/>
    </w:r>
    <w:r>
      <w:tab/>
    </w:r>
    <w:sdt>
      <w:sdtPr>
        <w:id w:val="-628859214"/>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37</w:t>
        </w:r>
        <w:r>
          <w:rPr>
            <w:noProof/>
          </w:rPr>
          <w:fldChar w:fldCharType="end"/>
        </w:r>
      </w:sdtContent>
    </w:sdt>
  </w:p>
  <w:p w14:paraId="6FB801D4" w14:textId="77777777" w:rsidR="003779CE" w:rsidRDefault="003779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5C6B0D"/>
    <w:multiLevelType w:val="multilevel"/>
    <w:tmpl w:val="621C3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56F0EBA"/>
    <w:multiLevelType w:val="multilevel"/>
    <w:tmpl w:val="36EC5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9E1734A"/>
    <w:multiLevelType w:val="hybridMultilevel"/>
    <w:tmpl w:val="B224B348"/>
    <w:lvl w:ilvl="0" w:tplc="0EA6650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numFmt w:val="decimal"/>
    <w:numRestart w:val="eachSect"/>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39E9"/>
    <w:rsid w:val="000010CD"/>
    <w:rsid w:val="0000367E"/>
    <w:rsid w:val="000061F2"/>
    <w:rsid w:val="0001064E"/>
    <w:rsid w:val="000118AD"/>
    <w:rsid w:val="00015A0C"/>
    <w:rsid w:val="0002222E"/>
    <w:rsid w:val="00023229"/>
    <w:rsid w:val="00025D8C"/>
    <w:rsid w:val="00032229"/>
    <w:rsid w:val="00032948"/>
    <w:rsid w:val="00050EF0"/>
    <w:rsid w:val="00053B61"/>
    <w:rsid w:val="00053E91"/>
    <w:rsid w:val="0005428D"/>
    <w:rsid w:val="00061A4D"/>
    <w:rsid w:val="000620BD"/>
    <w:rsid w:val="00065725"/>
    <w:rsid w:val="0007189A"/>
    <w:rsid w:val="0007784C"/>
    <w:rsid w:val="000848EB"/>
    <w:rsid w:val="00092DA6"/>
    <w:rsid w:val="00095EB1"/>
    <w:rsid w:val="000962AF"/>
    <w:rsid w:val="000968D1"/>
    <w:rsid w:val="000A01E2"/>
    <w:rsid w:val="000A23C5"/>
    <w:rsid w:val="000A32FC"/>
    <w:rsid w:val="000A3A5B"/>
    <w:rsid w:val="000A7AD0"/>
    <w:rsid w:val="000B3536"/>
    <w:rsid w:val="000C00EB"/>
    <w:rsid w:val="000C1335"/>
    <w:rsid w:val="000C1EB8"/>
    <w:rsid w:val="000C56E5"/>
    <w:rsid w:val="000C57FE"/>
    <w:rsid w:val="000D6FB9"/>
    <w:rsid w:val="000E4AF8"/>
    <w:rsid w:val="000E6661"/>
    <w:rsid w:val="000E6C2E"/>
    <w:rsid w:val="000E7145"/>
    <w:rsid w:val="000F0DDE"/>
    <w:rsid w:val="000F31DF"/>
    <w:rsid w:val="000F3FBB"/>
    <w:rsid w:val="000F50AE"/>
    <w:rsid w:val="0010479B"/>
    <w:rsid w:val="00113F4A"/>
    <w:rsid w:val="00116291"/>
    <w:rsid w:val="00117F08"/>
    <w:rsid w:val="00120DCB"/>
    <w:rsid w:val="00125D5D"/>
    <w:rsid w:val="0013213E"/>
    <w:rsid w:val="00132BF4"/>
    <w:rsid w:val="00134612"/>
    <w:rsid w:val="00142C32"/>
    <w:rsid w:val="00144C2D"/>
    <w:rsid w:val="00155F81"/>
    <w:rsid w:val="00172E39"/>
    <w:rsid w:val="00175A4B"/>
    <w:rsid w:val="001774AB"/>
    <w:rsid w:val="001838B7"/>
    <w:rsid w:val="00191B2C"/>
    <w:rsid w:val="00191DBD"/>
    <w:rsid w:val="00193A0A"/>
    <w:rsid w:val="00195886"/>
    <w:rsid w:val="00197506"/>
    <w:rsid w:val="001A1921"/>
    <w:rsid w:val="001A5E56"/>
    <w:rsid w:val="001B20AF"/>
    <w:rsid w:val="001B4603"/>
    <w:rsid w:val="001B4BA0"/>
    <w:rsid w:val="001B5AD0"/>
    <w:rsid w:val="001C1D36"/>
    <w:rsid w:val="001C1D8B"/>
    <w:rsid w:val="001D39E9"/>
    <w:rsid w:val="001E6AA9"/>
    <w:rsid w:val="001F1C8A"/>
    <w:rsid w:val="001F414C"/>
    <w:rsid w:val="001F4F5A"/>
    <w:rsid w:val="001F7F2D"/>
    <w:rsid w:val="00206545"/>
    <w:rsid w:val="002254E2"/>
    <w:rsid w:val="00235907"/>
    <w:rsid w:val="00242867"/>
    <w:rsid w:val="0026619C"/>
    <w:rsid w:val="00270AB3"/>
    <w:rsid w:val="00271DC2"/>
    <w:rsid w:val="002725D6"/>
    <w:rsid w:val="00275C00"/>
    <w:rsid w:val="002774C3"/>
    <w:rsid w:val="002801D0"/>
    <w:rsid w:val="002846E1"/>
    <w:rsid w:val="002849C9"/>
    <w:rsid w:val="0029558A"/>
    <w:rsid w:val="0029695C"/>
    <w:rsid w:val="002A38F5"/>
    <w:rsid w:val="002A67EB"/>
    <w:rsid w:val="002C0224"/>
    <w:rsid w:val="002C1A8D"/>
    <w:rsid w:val="002C3A26"/>
    <w:rsid w:val="002D1442"/>
    <w:rsid w:val="002D231F"/>
    <w:rsid w:val="002D23ED"/>
    <w:rsid w:val="002D7013"/>
    <w:rsid w:val="002E04E4"/>
    <w:rsid w:val="002F2B57"/>
    <w:rsid w:val="002F3079"/>
    <w:rsid w:val="003002C7"/>
    <w:rsid w:val="0030047C"/>
    <w:rsid w:val="003117FB"/>
    <w:rsid w:val="003174DD"/>
    <w:rsid w:val="003211B5"/>
    <w:rsid w:val="003238C1"/>
    <w:rsid w:val="00330F93"/>
    <w:rsid w:val="00337C31"/>
    <w:rsid w:val="00337CF8"/>
    <w:rsid w:val="0034420B"/>
    <w:rsid w:val="00350333"/>
    <w:rsid w:val="00350A7B"/>
    <w:rsid w:val="003554D9"/>
    <w:rsid w:val="00362586"/>
    <w:rsid w:val="0037370F"/>
    <w:rsid w:val="00376FF4"/>
    <w:rsid w:val="0037730D"/>
    <w:rsid w:val="0037780E"/>
    <w:rsid w:val="003779CE"/>
    <w:rsid w:val="00383571"/>
    <w:rsid w:val="003850D8"/>
    <w:rsid w:val="00386E8E"/>
    <w:rsid w:val="00387BD5"/>
    <w:rsid w:val="003913E2"/>
    <w:rsid w:val="003920A8"/>
    <w:rsid w:val="003A1103"/>
    <w:rsid w:val="003A54FF"/>
    <w:rsid w:val="003A69DA"/>
    <w:rsid w:val="003B1797"/>
    <w:rsid w:val="003D63BD"/>
    <w:rsid w:val="003D651B"/>
    <w:rsid w:val="003D7DFF"/>
    <w:rsid w:val="003E15A4"/>
    <w:rsid w:val="003F732D"/>
    <w:rsid w:val="00400035"/>
    <w:rsid w:val="00411989"/>
    <w:rsid w:val="00422143"/>
    <w:rsid w:val="00425533"/>
    <w:rsid w:val="00436638"/>
    <w:rsid w:val="004411ED"/>
    <w:rsid w:val="00441FE4"/>
    <w:rsid w:val="00454992"/>
    <w:rsid w:val="0045534C"/>
    <w:rsid w:val="004611F5"/>
    <w:rsid w:val="00462383"/>
    <w:rsid w:val="00464568"/>
    <w:rsid w:val="004660F5"/>
    <w:rsid w:val="004679B2"/>
    <w:rsid w:val="00470FEE"/>
    <w:rsid w:val="004751E8"/>
    <w:rsid w:val="004761F3"/>
    <w:rsid w:val="00476E9F"/>
    <w:rsid w:val="00481DFE"/>
    <w:rsid w:val="004839CC"/>
    <w:rsid w:val="00484361"/>
    <w:rsid w:val="004908D2"/>
    <w:rsid w:val="004913AF"/>
    <w:rsid w:val="00494895"/>
    <w:rsid w:val="004A55C9"/>
    <w:rsid w:val="004A79BA"/>
    <w:rsid w:val="004B13B3"/>
    <w:rsid w:val="004B25A0"/>
    <w:rsid w:val="004B6359"/>
    <w:rsid w:val="004B6830"/>
    <w:rsid w:val="004B6C03"/>
    <w:rsid w:val="004B6D00"/>
    <w:rsid w:val="004B7B5B"/>
    <w:rsid w:val="004C077C"/>
    <w:rsid w:val="004C0D61"/>
    <w:rsid w:val="004C1402"/>
    <w:rsid w:val="004C1533"/>
    <w:rsid w:val="004C266C"/>
    <w:rsid w:val="004C4034"/>
    <w:rsid w:val="004E43DF"/>
    <w:rsid w:val="004E4FDB"/>
    <w:rsid w:val="004E51C4"/>
    <w:rsid w:val="004E53EA"/>
    <w:rsid w:val="004E58EA"/>
    <w:rsid w:val="004E61D2"/>
    <w:rsid w:val="00501C22"/>
    <w:rsid w:val="00515412"/>
    <w:rsid w:val="00516FA9"/>
    <w:rsid w:val="005226E3"/>
    <w:rsid w:val="00536C24"/>
    <w:rsid w:val="00541757"/>
    <w:rsid w:val="00544692"/>
    <w:rsid w:val="0055042B"/>
    <w:rsid w:val="00552C61"/>
    <w:rsid w:val="0056080B"/>
    <w:rsid w:val="005630CA"/>
    <w:rsid w:val="005640A4"/>
    <w:rsid w:val="005666D2"/>
    <w:rsid w:val="00577E89"/>
    <w:rsid w:val="00580373"/>
    <w:rsid w:val="005808C0"/>
    <w:rsid w:val="00587A20"/>
    <w:rsid w:val="005907A8"/>
    <w:rsid w:val="005A3CB6"/>
    <w:rsid w:val="005A4CA8"/>
    <w:rsid w:val="005A6867"/>
    <w:rsid w:val="005B278E"/>
    <w:rsid w:val="005C2CD5"/>
    <w:rsid w:val="005C395F"/>
    <w:rsid w:val="005C5364"/>
    <w:rsid w:val="005C5BE7"/>
    <w:rsid w:val="005D2DA0"/>
    <w:rsid w:val="005D7291"/>
    <w:rsid w:val="005D764E"/>
    <w:rsid w:val="005F2C22"/>
    <w:rsid w:val="005F7069"/>
    <w:rsid w:val="00612D94"/>
    <w:rsid w:val="00615499"/>
    <w:rsid w:val="00622F3F"/>
    <w:rsid w:val="00623D5E"/>
    <w:rsid w:val="00624A6F"/>
    <w:rsid w:val="006256B0"/>
    <w:rsid w:val="00626331"/>
    <w:rsid w:val="00627C18"/>
    <w:rsid w:val="00631BFD"/>
    <w:rsid w:val="00644F01"/>
    <w:rsid w:val="00651BB5"/>
    <w:rsid w:val="00654BF3"/>
    <w:rsid w:val="00660518"/>
    <w:rsid w:val="00662E0D"/>
    <w:rsid w:val="00667817"/>
    <w:rsid w:val="00672480"/>
    <w:rsid w:val="00677D0B"/>
    <w:rsid w:val="00680944"/>
    <w:rsid w:val="00687AFB"/>
    <w:rsid w:val="00691649"/>
    <w:rsid w:val="00692F07"/>
    <w:rsid w:val="00693B2D"/>
    <w:rsid w:val="006952BE"/>
    <w:rsid w:val="006A3A77"/>
    <w:rsid w:val="006B35DE"/>
    <w:rsid w:val="006B5504"/>
    <w:rsid w:val="006C074B"/>
    <w:rsid w:val="006C69E9"/>
    <w:rsid w:val="006D36BF"/>
    <w:rsid w:val="006D6AA7"/>
    <w:rsid w:val="006E0E1D"/>
    <w:rsid w:val="006E3434"/>
    <w:rsid w:val="006E39CC"/>
    <w:rsid w:val="006F3DE4"/>
    <w:rsid w:val="006F49DD"/>
    <w:rsid w:val="00700E5C"/>
    <w:rsid w:val="007012F4"/>
    <w:rsid w:val="00705263"/>
    <w:rsid w:val="00725B27"/>
    <w:rsid w:val="0073569D"/>
    <w:rsid w:val="00747B6E"/>
    <w:rsid w:val="007541D3"/>
    <w:rsid w:val="00754729"/>
    <w:rsid w:val="007674F6"/>
    <w:rsid w:val="00771B75"/>
    <w:rsid w:val="00773051"/>
    <w:rsid w:val="00774F59"/>
    <w:rsid w:val="0077669B"/>
    <w:rsid w:val="007770D7"/>
    <w:rsid w:val="0078159E"/>
    <w:rsid w:val="0079761F"/>
    <w:rsid w:val="007A1896"/>
    <w:rsid w:val="007A1BBA"/>
    <w:rsid w:val="007A2879"/>
    <w:rsid w:val="007A42F5"/>
    <w:rsid w:val="007B1048"/>
    <w:rsid w:val="007B6DE1"/>
    <w:rsid w:val="007C051E"/>
    <w:rsid w:val="007C0632"/>
    <w:rsid w:val="007C5F00"/>
    <w:rsid w:val="007C6E17"/>
    <w:rsid w:val="007C7DB5"/>
    <w:rsid w:val="007D0672"/>
    <w:rsid w:val="007D0C2B"/>
    <w:rsid w:val="007D23DD"/>
    <w:rsid w:val="007D30BA"/>
    <w:rsid w:val="007D7CF7"/>
    <w:rsid w:val="007E166A"/>
    <w:rsid w:val="007E5C4F"/>
    <w:rsid w:val="007E7A76"/>
    <w:rsid w:val="007F4C01"/>
    <w:rsid w:val="007F6A95"/>
    <w:rsid w:val="00802CD0"/>
    <w:rsid w:val="00805061"/>
    <w:rsid w:val="00805719"/>
    <w:rsid w:val="00813428"/>
    <w:rsid w:val="00813BB6"/>
    <w:rsid w:val="00820C7B"/>
    <w:rsid w:val="00822D0A"/>
    <w:rsid w:val="0082496D"/>
    <w:rsid w:val="00826112"/>
    <w:rsid w:val="00827C22"/>
    <w:rsid w:val="00833F39"/>
    <w:rsid w:val="008375CA"/>
    <w:rsid w:val="008378DE"/>
    <w:rsid w:val="0085097E"/>
    <w:rsid w:val="00851C3C"/>
    <w:rsid w:val="008565BF"/>
    <w:rsid w:val="00865963"/>
    <w:rsid w:val="00866C7D"/>
    <w:rsid w:val="008704E6"/>
    <w:rsid w:val="008922F6"/>
    <w:rsid w:val="008937DF"/>
    <w:rsid w:val="008950C0"/>
    <w:rsid w:val="008A15C4"/>
    <w:rsid w:val="008A308B"/>
    <w:rsid w:val="008A5DD9"/>
    <w:rsid w:val="008B6384"/>
    <w:rsid w:val="008B6B36"/>
    <w:rsid w:val="008D0980"/>
    <w:rsid w:val="008E68BF"/>
    <w:rsid w:val="008F1498"/>
    <w:rsid w:val="008F322C"/>
    <w:rsid w:val="008F5A0A"/>
    <w:rsid w:val="008F5B2C"/>
    <w:rsid w:val="008F62AF"/>
    <w:rsid w:val="00905E1F"/>
    <w:rsid w:val="009123F4"/>
    <w:rsid w:val="00913B20"/>
    <w:rsid w:val="00914E73"/>
    <w:rsid w:val="0091612E"/>
    <w:rsid w:val="00917D0B"/>
    <w:rsid w:val="009227BD"/>
    <w:rsid w:val="0092483A"/>
    <w:rsid w:val="009332DF"/>
    <w:rsid w:val="00936EDC"/>
    <w:rsid w:val="00940C38"/>
    <w:rsid w:val="009418CB"/>
    <w:rsid w:val="009426C5"/>
    <w:rsid w:val="00955584"/>
    <w:rsid w:val="00960BC3"/>
    <w:rsid w:val="009718F4"/>
    <w:rsid w:val="00976C52"/>
    <w:rsid w:val="00981A86"/>
    <w:rsid w:val="0098219B"/>
    <w:rsid w:val="0098237E"/>
    <w:rsid w:val="00984C30"/>
    <w:rsid w:val="00987EA8"/>
    <w:rsid w:val="00991835"/>
    <w:rsid w:val="00997907"/>
    <w:rsid w:val="009A72FE"/>
    <w:rsid w:val="009B2D5C"/>
    <w:rsid w:val="009B74F2"/>
    <w:rsid w:val="009C3ACE"/>
    <w:rsid w:val="009C3B9A"/>
    <w:rsid w:val="009C4AA5"/>
    <w:rsid w:val="009D15EC"/>
    <w:rsid w:val="009D2249"/>
    <w:rsid w:val="009D3C4E"/>
    <w:rsid w:val="009E04D3"/>
    <w:rsid w:val="009E25B3"/>
    <w:rsid w:val="009E345E"/>
    <w:rsid w:val="009F3285"/>
    <w:rsid w:val="009F38BF"/>
    <w:rsid w:val="00A04129"/>
    <w:rsid w:val="00A054E2"/>
    <w:rsid w:val="00A14F08"/>
    <w:rsid w:val="00A1778C"/>
    <w:rsid w:val="00A24AA7"/>
    <w:rsid w:val="00A3022B"/>
    <w:rsid w:val="00A32C1E"/>
    <w:rsid w:val="00A33C51"/>
    <w:rsid w:val="00A34FA6"/>
    <w:rsid w:val="00A35BEA"/>
    <w:rsid w:val="00A371BB"/>
    <w:rsid w:val="00A375DE"/>
    <w:rsid w:val="00A433C6"/>
    <w:rsid w:val="00A44067"/>
    <w:rsid w:val="00A44727"/>
    <w:rsid w:val="00A45F14"/>
    <w:rsid w:val="00A50B9A"/>
    <w:rsid w:val="00A57BB2"/>
    <w:rsid w:val="00A6284A"/>
    <w:rsid w:val="00A62B84"/>
    <w:rsid w:val="00A6519C"/>
    <w:rsid w:val="00A65D01"/>
    <w:rsid w:val="00A70DEF"/>
    <w:rsid w:val="00A70E38"/>
    <w:rsid w:val="00A76450"/>
    <w:rsid w:val="00A80809"/>
    <w:rsid w:val="00AA2506"/>
    <w:rsid w:val="00AA2874"/>
    <w:rsid w:val="00AA2A4C"/>
    <w:rsid w:val="00AA69E2"/>
    <w:rsid w:val="00AA7F10"/>
    <w:rsid w:val="00AB16B3"/>
    <w:rsid w:val="00AB31E0"/>
    <w:rsid w:val="00AB46E4"/>
    <w:rsid w:val="00AB55B7"/>
    <w:rsid w:val="00AC55C7"/>
    <w:rsid w:val="00AC61BB"/>
    <w:rsid w:val="00AD36F7"/>
    <w:rsid w:val="00AD5BFD"/>
    <w:rsid w:val="00AE3C56"/>
    <w:rsid w:val="00AE3DFE"/>
    <w:rsid w:val="00B015A4"/>
    <w:rsid w:val="00B066E4"/>
    <w:rsid w:val="00B1098A"/>
    <w:rsid w:val="00B1159B"/>
    <w:rsid w:val="00B13D85"/>
    <w:rsid w:val="00B22000"/>
    <w:rsid w:val="00B255D9"/>
    <w:rsid w:val="00B307A2"/>
    <w:rsid w:val="00B34563"/>
    <w:rsid w:val="00B37134"/>
    <w:rsid w:val="00B42A8C"/>
    <w:rsid w:val="00B506B9"/>
    <w:rsid w:val="00B53051"/>
    <w:rsid w:val="00B61E75"/>
    <w:rsid w:val="00B70DF8"/>
    <w:rsid w:val="00B754C1"/>
    <w:rsid w:val="00B812C9"/>
    <w:rsid w:val="00B85521"/>
    <w:rsid w:val="00B8642A"/>
    <w:rsid w:val="00B95391"/>
    <w:rsid w:val="00B97DE3"/>
    <w:rsid w:val="00BA1967"/>
    <w:rsid w:val="00BB1516"/>
    <w:rsid w:val="00BB2936"/>
    <w:rsid w:val="00BC24B3"/>
    <w:rsid w:val="00BC38D6"/>
    <w:rsid w:val="00BC42C5"/>
    <w:rsid w:val="00BC5CF3"/>
    <w:rsid w:val="00BC67DD"/>
    <w:rsid w:val="00BC7CC6"/>
    <w:rsid w:val="00BD1CE5"/>
    <w:rsid w:val="00BD596F"/>
    <w:rsid w:val="00BE10DD"/>
    <w:rsid w:val="00BF4016"/>
    <w:rsid w:val="00BF50C1"/>
    <w:rsid w:val="00C00E0A"/>
    <w:rsid w:val="00C04A6B"/>
    <w:rsid w:val="00C05E90"/>
    <w:rsid w:val="00C16495"/>
    <w:rsid w:val="00C206C5"/>
    <w:rsid w:val="00C2201F"/>
    <w:rsid w:val="00C2631F"/>
    <w:rsid w:val="00C33607"/>
    <w:rsid w:val="00C34351"/>
    <w:rsid w:val="00C472DD"/>
    <w:rsid w:val="00C540F4"/>
    <w:rsid w:val="00C5604E"/>
    <w:rsid w:val="00C56053"/>
    <w:rsid w:val="00C63499"/>
    <w:rsid w:val="00C732BC"/>
    <w:rsid w:val="00C75E02"/>
    <w:rsid w:val="00C82F29"/>
    <w:rsid w:val="00C8397D"/>
    <w:rsid w:val="00C842AA"/>
    <w:rsid w:val="00C9607E"/>
    <w:rsid w:val="00C97570"/>
    <w:rsid w:val="00CB2152"/>
    <w:rsid w:val="00CC69CC"/>
    <w:rsid w:val="00CE3D3B"/>
    <w:rsid w:val="00CE7C90"/>
    <w:rsid w:val="00CF5D8C"/>
    <w:rsid w:val="00CF76DA"/>
    <w:rsid w:val="00CF7A3D"/>
    <w:rsid w:val="00D0012A"/>
    <w:rsid w:val="00D0030C"/>
    <w:rsid w:val="00D004D6"/>
    <w:rsid w:val="00D012C1"/>
    <w:rsid w:val="00D05E60"/>
    <w:rsid w:val="00D07010"/>
    <w:rsid w:val="00D147B2"/>
    <w:rsid w:val="00D14B72"/>
    <w:rsid w:val="00D2282B"/>
    <w:rsid w:val="00D23EC8"/>
    <w:rsid w:val="00D259B0"/>
    <w:rsid w:val="00D2730A"/>
    <w:rsid w:val="00D32367"/>
    <w:rsid w:val="00D34714"/>
    <w:rsid w:val="00D3704E"/>
    <w:rsid w:val="00D4368B"/>
    <w:rsid w:val="00D45602"/>
    <w:rsid w:val="00D4679C"/>
    <w:rsid w:val="00D5159E"/>
    <w:rsid w:val="00D66662"/>
    <w:rsid w:val="00D7379E"/>
    <w:rsid w:val="00D76A18"/>
    <w:rsid w:val="00D9307E"/>
    <w:rsid w:val="00DA4912"/>
    <w:rsid w:val="00DA6FEA"/>
    <w:rsid w:val="00DB002C"/>
    <w:rsid w:val="00DB09B2"/>
    <w:rsid w:val="00DB40BF"/>
    <w:rsid w:val="00DB41DE"/>
    <w:rsid w:val="00DB5CA6"/>
    <w:rsid w:val="00DB7113"/>
    <w:rsid w:val="00DC09E3"/>
    <w:rsid w:val="00DC1621"/>
    <w:rsid w:val="00DC17BF"/>
    <w:rsid w:val="00DC4099"/>
    <w:rsid w:val="00DC7CA1"/>
    <w:rsid w:val="00DD0012"/>
    <w:rsid w:val="00DD0A5E"/>
    <w:rsid w:val="00DD21E1"/>
    <w:rsid w:val="00DD6354"/>
    <w:rsid w:val="00DD6DDB"/>
    <w:rsid w:val="00DE00B1"/>
    <w:rsid w:val="00DF1C09"/>
    <w:rsid w:val="00DF247B"/>
    <w:rsid w:val="00DF41B9"/>
    <w:rsid w:val="00DF44A6"/>
    <w:rsid w:val="00DF504F"/>
    <w:rsid w:val="00DF6A1A"/>
    <w:rsid w:val="00E0565D"/>
    <w:rsid w:val="00E112AA"/>
    <w:rsid w:val="00E13B7E"/>
    <w:rsid w:val="00E14C44"/>
    <w:rsid w:val="00E15B0B"/>
    <w:rsid w:val="00E2149B"/>
    <w:rsid w:val="00E24D01"/>
    <w:rsid w:val="00E26C6A"/>
    <w:rsid w:val="00E27116"/>
    <w:rsid w:val="00E31955"/>
    <w:rsid w:val="00E43714"/>
    <w:rsid w:val="00E4436B"/>
    <w:rsid w:val="00E6083F"/>
    <w:rsid w:val="00E70436"/>
    <w:rsid w:val="00E807BA"/>
    <w:rsid w:val="00E8628D"/>
    <w:rsid w:val="00E8647E"/>
    <w:rsid w:val="00E93C82"/>
    <w:rsid w:val="00E949F2"/>
    <w:rsid w:val="00E96F0A"/>
    <w:rsid w:val="00EA191B"/>
    <w:rsid w:val="00EA2A30"/>
    <w:rsid w:val="00EA7BBD"/>
    <w:rsid w:val="00EB22C3"/>
    <w:rsid w:val="00EB4E53"/>
    <w:rsid w:val="00EC5E36"/>
    <w:rsid w:val="00ED00B1"/>
    <w:rsid w:val="00ED11D6"/>
    <w:rsid w:val="00ED2352"/>
    <w:rsid w:val="00ED3C88"/>
    <w:rsid w:val="00EE1464"/>
    <w:rsid w:val="00EE440A"/>
    <w:rsid w:val="00EE494C"/>
    <w:rsid w:val="00EE5048"/>
    <w:rsid w:val="00EF6334"/>
    <w:rsid w:val="00F04093"/>
    <w:rsid w:val="00F04B46"/>
    <w:rsid w:val="00F14E52"/>
    <w:rsid w:val="00F20352"/>
    <w:rsid w:val="00F278BE"/>
    <w:rsid w:val="00F34CDE"/>
    <w:rsid w:val="00F3790E"/>
    <w:rsid w:val="00F42C87"/>
    <w:rsid w:val="00F45CC8"/>
    <w:rsid w:val="00F4743A"/>
    <w:rsid w:val="00F52F7E"/>
    <w:rsid w:val="00F6158D"/>
    <w:rsid w:val="00F744CC"/>
    <w:rsid w:val="00F90AAC"/>
    <w:rsid w:val="00F953DF"/>
    <w:rsid w:val="00F9782B"/>
    <w:rsid w:val="00FA18AD"/>
    <w:rsid w:val="00FB0025"/>
    <w:rsid w:val="00FB63B3"/>
    <w:rsid w:val="00FC44E7"/>
    <w:rsid w:val="00FC6CE7"/>
    <w:rsid w:val="00FD5359"/>
    <w:rsid w:val="00FE069F"/>
    <w:rsid w:val="00FF2387"/>
    <w:rsid w:val="00FF49A4"/>
    <w:rsid w:val="00FF6E65"/>
    <w:rsid w:val="00FF7C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F2488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line="48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55C7"/>
  </w:style>
  <w:style w:type="paragraph" w:styleId="Heading1">
    <w:name w:val="heading 1"/>
    <w:basedOn w:val="Normal"/>
    <w:next w:val="Normal"/>
    <w:link w:val="Heading1Char"/>
    <w:uiPriority w:val="9"/>
    <w:qFormat/>
    <w:rsid w:val="00691649"/>
    <w:pPr>
      <w:spacing w:beforeAutospacing="1" w:afterAutospacing="1" w:line="240" w:lineRule="auto"/>
      <w:jc w:val="center"/>
      <w:outlineLvl w:val="0"/>
    </w:pPr>
    <w:rPr>
      <w:rFonts w:eastAsia="Times New Roman" w:cs="Times New Roman"/>
      <w:b/>
      <w:bCs/>
      <w:kern w:val="36"/>
      <w:szCs w:val="48"/>
    </w:rPr>
  </w:style>
  <w:style w:type="paragraph" w:styleId="Heading2">
    <w:name w:val="heading 2"/>
    <w:basedOn w:val="Normal"/>
    <w:next w:val="Normal"/>
    <w:link w:val="Heading2Char"/>
    <w:uiPriority w:val="9"/>
    <w:unhideWhenUsed/>
    <w:qFormat/>
    <w:rsid w:val="00691649"/>
    <w:pPr>
      <w:keepNext/>
      <w:keepLines/>
      <w:outlineLvl w:val="1"/>
    </w:pPr>
    <w:rPr>
      <w:rFonts w:eastAsiaTheme="majorEastAsia" w:cstheme="majorBidi"/>
      <w:b/>
      <w:szCs w:val="26"/>
    </w:rPr>
  </w:style>
  <w:style w:type="paragraph" w:styleId="Heading4">
    <w:name w:val="heading 4"/>
    <w:basedOn w:val="Normal"/>
    <w:next w:val="Normal"/>
    <w:link w:val="Heading4Char"/>
    <w:uiPriority w:val="9"/>
    <w:semiHidden/>
    <w:unhideWhenUsed/>
    <w:qFormat/>
    <w:rsid w:val="00940C38"/>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23EC8"/>
    <w:rPr>
      <w:sz w:val="16"/>
      <w:szCs w:val="16"/>
    </w:rPr>
  </w:style>
  <w:style w:type="paragraph" w:styleId="CommentText">
    <w:name w:val="annotation text"/>
    <w:basedOn w:val="Normal"/>
    <w:link w:val="CommentTextChar"/>
    <w:uiPriority w:val="99"/>
    <w:unhideWhenUsed/>
    <w:rsid w:val="00D23EC8"/>
    <w:pPr>
      <w:spacing w:line="240" w:lineRule="auto"/>
    </w:pPr>
    <w:rPr>
      <w:sz w:val="20"/>
      <w:szCs w:val="20"/>
    </w:rPr>
  </w:style>
  <w:style w:type="character" w:customStyle="1" w:styleId="CommentTextChar">
    <w:name w:val="Comment Text Char"/>
    <w:basedOn w:val="DefaultParagraphFont"/>
    <w:link w:val="CommentText"/>
    <w:uiPriority w:val="99"/>
    <w:rsid w:val="00D23EC8"/>
    <w:rPr>
      <w:sz w:val="20"/>
      <w:szCs w:val="20"/>
    </w:rPr>
  </w:style>
  <w:style w:type="paragraph" w:styleId="CommentSubject">
    <w:name w:val="annotation subject"/>
    <w:basedOn w:val="CommentText"/>
    <w:next w:val="CommentText"/>
    <w:link w:val="CommentSubjectChar"/>
    <w:uiPriority w:val="99"/>
    <w:semiHidden/>
    <w:unhideWhenUsed/>
    <w:rsid w:val="00D23EC8"/>
    <w:rPr>
      <w:b/>
      <w:bCs/>
    </w:rPr>
  </w:style>
  <w:style w:type="character" w:customStyle="1" w:styleId="CommentSubjectChar">
    <w:name w:val="Comment Subject Char"/>
    <w:basedOn w:val="CommentTextChar"/>
    <w:link w:val="CommentSubject"/>
    <w:uiPriority w:val="99"/>
    <w:semiHidden/>
    <w:rsid w:val="00D23EC8"/>
    <w:rPr>
      <w:b/>
      <w:bCs/>
      <w:sz w:val="20"/>
      <w:szCs w:val="20"/>
    </w:rPr>
  </w:style>
  <w:style w:type="paragraph" w:styleId="BalloonText">
    <w:name w:val="Balloon Text"/>
    <w:basedOn w:val="Normal"/>
    <w:link w:val="BalloonTextChar"/>
    <w:uiPriority w:val="99"/>
    <w:semiHidden/>
    <w:unhideWhenUsed/>
    <w:rsid w:val="00D23EC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3EC8"/>
    <w:rPr>
      <w:rFonts w:ascii="Segoe UI" w:hAnsi="Segoe UI" w:cs="Segoe UI"/>
      <w:sz w:val="18"/>
      <w:szCs w:val="18"/>
    </w:rPr>
  </w:style>
  <w:style w:type="paragraph" w:styleId="Header">
    <w:name w:val="header"/>
    <w:basedOn w:val="Normal"/>
    <w:link w:val="HeaderChar"/>
    <w:uiPriority w:val="99"/>
    <w:unhideWhenUsed/>
    <w:rsid w:val="00936EDC"/>
    <w:pPr>
      <w:tabs>
        <w:tab w:val="center" w:pos="4680"/>
        <w:tab w:val="right" w:pos="9360"/>
      </w:tabs>
      <w:spacing w:line="240" w:lineRule="auto"/>
    </w:pPr>
  </w:style>
  <w:style w:type="character" w:customStyle="1" w:styleId="HeaderChar">
    <w:name w:val="Header Char"/>
    <w:basedOn w:val="DefaultParagraphFont"/>
    <w:link w:val="Header"/>
    <w:uiPriority w:val="99"/>
    <w:rsid w:val="00936EDC"/>
  </w:style>
  <w:style w:type="paragraph" w:styleId="Footer">
    <w:name w:val="footer"/>
    <w:basedOn w:val="Normal"/>
    <w:link w:val="FooterChar"/>
    <w:uiPriority w:val="99"/>
    <w:unhideWhenUsed/>
    <w:rsid w:val="00936EDC"/>
    <w:pPr>
      <w:tabs>
        <w:tab w:val="center" w:pos="4680"/>
        <w:tab w:val="right" w:pos="9360"/>
      </w:tabs>
      <w:spacing w:line="240" w:lineRule="auto"/>
    </w:pPr>
  </w:style>
  <w:style w:type="character" w:customStyle="1" w:styleId="FooterChar">
    <w:name w:val="Footer Char"/>
    <w:basedOn w:val="DefaultParagraphFont"/>
    <w:link w:val="Footer"/>
    <w:uiPriority w:val="99"/>
    <w:rsid w:val="00936EDC"/>
  </w:style>
  <w:style w:type="character" w:customStyle="1" w:styleId="Heading1Char">
    <w:name w:val="Heading 1 Char"/>
    <w:basedOn w:val="DefaultParagraphFont"/>
    <w:link w:val="Heading1"/>
    <w:uiPriority w:val="9"/>
    <w:rsid w:val="00691649"/>
    <w:rPr>
      <w:rFonts w:eastAsia="Times New Roman" w:cs="Times New Roman"/>
      <w:b/>
      <w:bCs/>
      <w:kern w:val="36"/>
      <w:szCs w:val="48"/>
    </w:rPr>
  </w:style>
  <w:style w:type="paragraph" w:styleId="NormalWeb">
    <w:name w:val="Normal (Web)"/>
    <w:basedOn w:val="Normal"/>
    <w:uiPriority w:val="99"/>
    <w:unhideWhenUsed/>
    <w:rsid w:val="000E4AF8"/>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unhideWhenUsed/>
    <w:rsid w:val="000E4AF8"/>
    <w:rPr>
      <w:color w:val="0000FF"/>
      <w:u w:val="single"/>
    </w:rPr>
  </w:style>
  <w:style w:type="character" w:customStyle="1" w:styleId="journaltitle">
    <w:name w:val="journaltitle"/>
    <w:basedOn w:val="DefaultParagraphFont"/>
    <w:rsid w:val="000E4AF8"/>
  </w:style>
  <w:style w:type="paragraph" w:customStyle="1" w:styleId="icon--meta-keyline-before">
    <w:name w:val="icon--meta-keyline-before"/>
    <w:basedOn w:val="Normal"/>
    <w:rsid w:val="000E4AF8"/>
    <w:pPr>
      <w:spacing w:before="100" w:beforeAutospacing="1" w:after="100" w:afterAutospacing="1" w:line="240" w:lineRule="auto"/>
    </w:pPr>
    <w:rPr>
      <w:rFonts w:eastAsia="Times New Roman" w:cs="Times New Roman"/>
      <w:szCs w:val="24"/>
    </w:rPr>
  </w:style>
  <w:style w:type="character" w:customStyle="1" w:styleId="articlecitationyear">
    <w:name w:val="articlecitation_year"/>
    <w:basedOn w:val="DefaultParagraphFont"/>
    <w:rsid w:val="000E4AF8"/>
  </w:style>
  <w:style w:type="character" w:customStyle="1" w:styleId="articlecitationvolume">
    <w:name w:val="articlecitation_volume"/>
    <w:basedOn w:val="DefaultParagraphFont"/>
    <w:rsid w:val="000E4AF8"/>
  </w:style>
  <w:style w:type="character" w:customStyle="1" w:styleId="articlecitationpages">
    <w:name w:val="articlecitation_pages"/>
    <w:basedOn w:val="DefaultParagraphFont"/>
    <w:rsid w:val="000E4AF8"/>
  </w:style>
  <w:style w:type="character" w:customStyle="1" w:styleId="u-inline-block">
    <w:name w:val="u-inline-block"/>
    <w:basedOn w:val="DefaultParagraphFont"/>
    <w:rsid w:val="000E4AF8"/>
  </w:style>
  <w:style w:type="character" w:customStyle="1" w:styleId="authorsname">
    <w:name w:val="authors__name"/>
    <w:basedOn w:val="DefaultParagraphFont"/>
    <w:rsid w:val="000E4AF8"/>
  </w:style>
  <w:style w:type="character" w:customStyle="1" w:styleId="authorscontact">
    <w:name w:val="authors__contact"/>
    <w:basedOn w:val="DefaultParagraphFont"/>
    <w:rsid w:val="000E4AF8"/>
  </w:style>
  <w:style w:type="character" w:customStyle="1" w:styleId="entryauthor">
    <w:name w:val="entryauthor"/>
    <w:basedOn w:val="DefaultParagraphFont"/>
    <w:rsid w:val="000E4AF8"/>
  </w:style>
  <w:style w:type="character" w:customStyle="1" w:styleId="journalname">
    <w:name w:val="journalname"/>
    <w:basedOn w:val="DefaultParagraphFont"/>
    <w:rsid w:val="000E4AF8"/>
  </w:style>
  <w:style w:type="character" w:customStyle="1" w:styleId="volume">
    <w:name w:val="volume"/>
    <w:basedOn w:val="DefaultParagraphFont"/>
    <w:rsid w:val="000E4AF8"/>
  </w:style>
  <w:style w:type="paragraph" w:styleId="EndnoteText">
    <w:name w:val="endnote text"/>
    <w:basedOn w:val="Normal"/>
    <w:link w:val="EndnoteTextChar"/>
    <w:uiPriority w:val="99"/>
    <w:semiHidden/>
    <w:unhideWhenUsed/>
    <w:rsid w:val="00672480"/>
    <w:pPr>
      <w:spacing w:line="240" w:lineRule="auto"/>
    </w:pPr>
    <w:rPr>
      <w:sz w:val="20"/>
      <w:szCs w:val="20"/>
    </w:rPr>
  </w:style>
  <w:style w:type="character" w:customStyle="1" w:styleId="EndnoteTextChar">
    <w:name w:val="Endnote Text Char"/>
    <w:basedOn w:val="DefaultParagraphFont"/>
    <w:link w:val="EndnoteText"/>
    <w:uiPriority w:val="99"/>
    <w:semiHidden/>
    <w:rsid w:val="00672480"/>
    <w:rPr>
      <w:sz w:val="20"/>
      <w:szCs w:val="20"/>
    </w:rPr>
  </w:style>
  <w:style w:type="character" w:styleId="EndnoteReference">
    <w:name w:val="endnote reference"/>
    <w:basedOn w:val="DefaultParagraphFont"/>
    <w:uiPriority w:val="99"/>
    <w:semiHidden/>
    <w:unhideWhenUsed/>
    <w:rsid w:val="00672480"/>
    <w:rPr>
      <w:vertAlign w:val="superscript"/>
    </w:rPr>
  </w:style>
  <w:style w:type="character" w:customStyle="1" w:styleId="article-headermeta-info-data">
    <w:name w:val="article-header__meta-info-data"/>
    <w:basedOn w:val="DefaultParagraphFont"/>
    <w:rsid w:val="008565BF"/>
  </w:style>
  <w:style w:type="character" w:customStyle="1" w:styleId="title-text">
    <w:name w:val="title-text"/>
    <w:basedOn w:val="DefaultParagraphFont"/>
    <w:rsid w:val="008565BF"/>
  </w:style>
  <w:style w:type="character" w:customStyle="1" w:styleId="Heading4Char">
    <w:name w:val="Heading 4 Char"/>
    <w:basedOn w:val="DefaultParagraphFont"/>
    <w:link w:val="Heading4"/>
    <w:uiPriority w:val="9"/>
    <w:semiHidden/>
    <w:rsid w:val="00940C38"/>
    <w:rPr>
      <w:rFonts w:asciiTheme="majorHAnsi" w:eastAsiaTheme="majorEastAsia" w:hAnsiTheme="majorHAnsi" w:cstheme="majorBidi"/>
      <w:i/>
      <w:iCs/>
      <w:color w:val="2F5496" w:themeColor="accent1" w:themeShade="BF"/>
    </w:rPr>
  </w:style>
  <w:style w:type="character" w:customStyle="1" w:styleId="UnresolvedMention1">
    <w:name w:val="Unresolved Mention1"/>
    <w:basedOn w:val="DefaultParagraphFont"/>
    <w:uiPriority w:val="99"/>
    <w:semiHidden/>
    <w:unhideWhenUsed/>
    <w:rsid w:val="007541D3"/>
    <w:rPr>
      <w:color w:val="808080"/>
      <w:shd w:val="clear" w:color="auto" w:fill="E6E6E6"/>
    </w:rPr>
  </w:style>
  <w:style w:type="paragraph" w:styleId="FootnoteText">
    <w:name w:val="footnote text"/>
    <w:basedOn w:val="Normal"/>
    <w:link w:val="FootnoteTextChar"/>
    <w:uiPriority w:val="99"/>
    <w:semiHidden/>
    <w:unhideWhenUsed/>
    <w:rsid w:val="00D7379E"/>
    <w:pPr>
      <w:spacing w:line="240" w:lineRule="auto"/>
    </w:pPr>
    <w:rPr>
      <w:sz w:val="20"/>
      <w:szCs w:val="20"/>
    </w:rPr>
  </w:style>
  <w:style w:type="character" w:customStyle="1" w:styleId="FootnoteTextChar">
    <w:name w:val="Footnote Text Char"/>
    <w:basedOn w:val="DefaultParagraphFont"/>
    <w:link w:val="FootnoteText"/>
    <w:uiPriority w:val="99"/>
    <w:semiHidden/>
    <w:rsid w:val="00D7379E"/>
    <w:rPr>
      <w:sz w:val="20"/>
      <w:szCs w:val="20"/>
    </w:rPr>
  </w:style>
  <w:style w:type="character" w:styleId="FootnoteReference">
    <w:name w:val="footnote reference"/>
    <w:basedOn w:val="DefaultParagraphFont"/>
    <w:uiPriority w:val="99"/>
    <w:semiHidden/>
    <w:unhideWhenUsed/>
    <w:rsid w:val="00D7379E"/>
    <w:rPr>
      <w:vertAlign w:val="superscript"/>
    </w:rPr>
  </w:style>
  <w:style w:type="character" w:customStyle="1" w:styleId="nlmstring-name">
    <w:name w:val="nlm_string-name"/>
    <w:basedOn w:val="DefaultParagraphFont"/>
    <w:rsid w:val="00E26C6A"/>
  </w:style>
  <w:style w:type="character" w:customStyle="1" w:styleId="nlmyear">
    <w:name w:val="nlm_year"/>
    <w:basedOn w:val="DefaultParagraphFont"/>
    <w:rsid w:val="00E26C6A"/>
  </w:style>
  <w:style w:type="character" w:customStyle="1" w:styleId="nlmarticle-title">
    <w:name w:val="nlm_article-title"/>
    <w:basedOn w:val="DefaultParagraphFont"/>
    <w:rsid w:val="00E26C6A"/>
  </w:style>
  <w:style w:type="character" w:customStyle="1" w:styleId="nlmpublisher-name">
    <w:name w:val="nlm_publisher-name"/>
    <w:basedOn w:val="DefaultParagraphFont"/>
    <w:rsid w:val="00E26C6A"/>
  </w:style>
  <w:style w:type="table" w:styleId="TableGrid">
    <w:name w:val="Table Grid"/>
    <w:basedOn w:val="TableNormal"/>
    <w:uiPriority w:val="39"/>
    <w:rsid w:val="0077669B"/>
    <w:pPr>
      <w:spacing w:line="240" w:lineRule="auto"/>
    </w:pPr>
    <w:rPr>
      <w:rFonts w:asciiTheme="minorHAnsi" w:hAnsiTheme="minorHAnsi"/>
      <w:sz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691649"/>
    <w:rPr>
      <w:rFonts w:eastAsiaTheme="majorEastAsia" w:cstheme="majorBidi"/>
      <w:b/>
      <w:szCs w:val="26"/>
    </w:rPr>
  </w:style>
  <w:style w:type="character" w:styleId="UnresolvedMention">
    <w:name w:val="Unresolved Mention"/>
    <w:basedOn w:val="DefaultParagraphFont"/>
    <w:uiPriority w:val="99"/>
    <w:semiHidden/>
    <w:unhideWhenUsed/>
    <w:rsid w:val="001F41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39110">
      <w:bodyDiv w:val="1"/>
      <w:marLeft w:val="0"/>
      <w:marRight w:val="0"/>
      <w:marTop w:val="0"/>
      <w:marBottom w:val="0"/>
      <w:divBdr>
        <w:top w:val="none" w:sz="0" w:space="0" w:color="auto"/>
        <w:left w:val="none" w:sz="0" w:space="0" w:color="auto"/>
        <w:bottom w:val="none" w:sz="0" w:space="0" w:color="auto"/>
        <w:right w:val="none" w:sz="0" w:space="0" w:color="auto"/>
      </w:divBdr>
      <w:divsChild>
        <w:div w:id="1017732172">
          <w:marLeft w:val="0"/>
          <w:marRight w:val="0"/>
          <w:marTop w:val="0"/>
          <w:marBottom w:val="0"/>
          <w:divBdr>
            <w:top w:val="none" w:sz="0" w:space="0" w:color="auto"/>
            <w:left w:val="none" w:sz="0" w:space="0" w:color="auto"/>
            <w:bottom w:val="none" w:sz="0" w:space="0" w:color="auto"/>
            <w:right w:val="none" w:sz="0" w:space="0" w:color="auto"/>
          </w:divBdr>
        </w:div>
      </w:divsChild>
    </w:div>
    <w:div w:id="25563246">
      <w:bodyDiv w:val="1"/>
      <w:marLeft w:val="0"/>
      <w:marRight w:val="0"/>
      <w:marTop w:val="0"/>
      <w:marBottom w:val="0"/>
      <w:divBdr>
        <w:top w:val="none" w:sz="0" w:space="0" w:color="auto"/>
        <w:left w:val="none" w:sz="0" w:space="0" w:color="auto"/>
        <w:bottom w:val="none" w:sz="0" w:space="0" w:color="auto"/>
        <w:right w:val="none" w:sz="0" w:space="0" w:color="auto"/>
      </w:divBdr>
    </w:div>
    <w:div w:id="44987396">
      <w:bodyDiv w:val="1"/>
      <w:marLeft w:val="0"/>
      <w:marRight w:val="0"/>
      <w:marTop w:val="0"/>
      <w:marBottom w:val="0"/>
      <w:divBdr>
        <w:top w:val="none" w:sz="0" w:space="0" w:color="auto"/>
        <w:left w:val="none" w:sz="0" w:space="0" w:color="auto"/>
        <w:bottom w:val="none" w:sz="0" w:space="0" w:color="auto"/>
        <w:right w:val="none" w:sz="0" w:space="0" w:color="auto"/>
      </w:divBdr>
      <w:divsChild>
        <w:div w:id="1281256022">
          <w:marLeft w:val="0"/>
          <w:marRight w:val="0"/>
          <w:marTop w:val="0"/>
          <w:marBottom w:val="0"/>
          <w:divBdr>
            <w:top w:val="none" w:sz="0" w:space="0" w:color="auto"/>
            <w:left w:val="none" w:sz="0" w:space="0" w:color="auto"/>
            <w:bottom w:val="none" w:sz="0" w:space="0" w:color="auto"/>
            <w:right w:val="none" w:sz="0" w:space="0" w:color="auto"/>
          </w:divBdr>
        </w:div>
      </w:divsChild>
    </w:div>
    <w:div w:id="49766146">
      <w:bodyDiv w:val="1"/>
      <w:marLeft w:val="0"/>
      <w:marRight w:val="0"/>
      <w:marTop w:val="0"/>
      <w:marBottom w:val="0"/>
      <w:divBdr>
        <w:top w:val="none" w:sz="0" w:space="0" w:color="auto"/>
        <w:left w:val="none" w:sz="0" w:space="0" w:color="auto"/>
        <w:bottom w:val="none" w:sz="0" w:space="0" w:color="auto"/>
        <w:right w:val="none" w:sz="0" w:space="0" w:color="auto"/>
      </w:divBdr>
      <w:divsChild>
        <w:div w:id="569850951">
          <w:marLeft w:val="0"/>
          <w:marRight w:val="0"/>
          <w:marTop w:val="0"/>
          <w:marBottom w:val="0"/>
          <w:divBdr>
            <w:top w:val="none" w:sz="0" w:space="0" w:color="auto"/>
            <w:left w:val="none" w:sz="0" w:space="0" w:color="auto"/>
            <w:bottom w:val="none" w:sz="0" w:space="0" w:color="auto"/>
            <w:right w:val="none" w:sz="0" w:space="0" w:color="auto"/>
          </w:divBdr>
        </w:div>
      </w:divsChild>
    </w:div>
    <w:div w:id="56248053">
      <w:bodyDiv w:val="1"/>
      <w:marLeft w:val="0"/>
      <w:marRight w:val="0"/>
      <w:marTop w:val="0"/>
      <w:marBottom w:val="0"/>
      <w:divBdr>
        <w:top w:val="none" w:sz="0" w:space="0" w:color="auto"/>
        <w:left w:val="none" w:sz="0" w:space="0" w:color="auto"/>
        <w:bottom w:val="none" w:sz="0" w:space="0" w:color="auto"/>
        <w:right w:val="none" w:sz="0" w:space="0" w:color="auto"/>
      </w:divBdr>
    </w:div>
    <w:div w:id="88430938">
      <w:bodyDiv w:val="1"/>
      <w:marLeft w:val="0"/>
      <w:marRight w:val="0"/>
      <w:marTop w:val="0"/>
      <w:marBottom w:val="0"/>
      <w:divBdr>
        <w:top w:val="none" w:sz="0" w:space="0" w:color="auto"/>
        <w:left w:val="none" w:sz="0" w:space="0" w:color="auto"/>
        <w:bottom w:val="none" w:sz="0" w:space="0" w:color="auto"/>
        <w:right w:val="none" w:sz="0" w:space="0" w:color="auto"/>
      </w:divBdr>
    </w:div>
    <w:div w:id="101538319">
      <w:bodyDiv w:val="1"/>
      <w:marLeft w:val="0"/>
      <w:marRight w:val="0"/>
      <w:marTop w:val="0"/>
      <w:marBottom w:val="0"/>
      <w:divBdr>
        <w:top w:val="none" w:sz="0" w:space="0" w:color="auto"/>
        <w:left w:val="none" w:sz="0" w:space="0" w:color="auto"/>
        <w:bottom w:val="none" w:sz="0" w:space="0" w:color="auto"/>
        <w:right w:val="none" w:sz="0" w:space="0" w:color="auto"/>
      </w:divBdr>
    </w:div>
    <w:div w:id="133105467">
      <w:bodyDiv w:val="1"/>
      <w:marLeft w:val="0"/>
      <w:marRight w:val="0"/>
      <w:marTop w:val="0"/>
      <w:marBottom w:val="0"/>
      <w:divBdr>
        <w:top w:val="none" w:sz="0" w:space="0" w:color="auto"/>
        <w:left w:val="none" w:sz="0" w:space="0" w:color="auto"/>
        <w:bottom w:val="none" w:sz="0" w:space="0" w:color="auto"/>
        <w:right w:val="none" w:sz="0" w:space="0" w:color="auto"/>
      </w:divBdr>
      <w:divsChild>
        <w:div w:id="194659980">
          <w:marLeft w:val="0"/>
          <w:marRight w:val="0"/>
          <w:marTop w:val="0"/>
          <w:marBottom w:val="0"/>
          <w:divBdr>
            <w:top w:val="none" w:sz="0" w:space="0" w:color="auto"/>
            <w:left w:val="none" w:sz="0" w:space="0" w:color="auto"/>
            <w:bottom w:val="none" w:sz="0" w:space="0" w:color="auto"/>
            <w:right w:val="none" w:sz="0" w:space="0" w:color="auto"/>
          </w:divBdr>
        </w:div>
      </w:divsChild>
    </w:div>
    <w:div w:id="161626662">
      <w:bodyDiv w:val="1"/>
      <w:marLeft w:val="0"/>
      <w:marRight w:val="0"/>
      <w:marTop w:val="0"/>
      <w:marBottom w:val="0"/>
      <w:divBdr>
        <w:top w:val="none" w:sz="0" w:space="0" w:color="auto"/>
        <w:left w:val="none" w:sz="0" w:space="0" w:color="auto"/>
        <w:bottom w:val="none" w:sz="0" w:space="0" w:color="auto"/>
        <w:right w:val="none" w:sz="0" w:space="0" w:color="auto"/>
      </w:divBdr>
      <w:divsChild>
        <w:div w:id="1091505957">
          <w:marLeft w:val="0"/>
          <w:marRight w:val="0"/>
          <w:marTop w:val="0"/>
          <w:marBottom w:val="0"/>
          <w:divBdr>
            <w:top w:val="none" w:sz="0" w:space="0" w:color="auto"/>
            <w:left w:val="none" w:sz="0" w:space="0" w:color="auto"/>
            <w:bottom w:val="none" w:sz="0" w:space="0" w:color="auto"/>
            <w:right w:val="none" w:sz="0" w:space="0" w:color="auto"/>
          </w:divBdr>
        </w:div>
      </w:divsChild>
    </w:div>
    <w:div w:id="296835428">
      <w:bodyDiv w:val="1"/>
      <w:marLeft w:val="0"/>
      <w:marRight w:val="0"/>
      <w:marTop w:val="0"/>
      <w:marBottom w:val="0"/>
      <w:divBdr>
        <w:top w:val="none" w:sz="0" w:space="0" w:color="auto"/>
        <w:left w:val="none" w:sz="0" w:space="0" w:color="auto"/>
        <w:bottom w:val="none" w:sz="0" w:space="0" w:color="auto"/>
        <w:right w:val="none" w:sz="0" w:space="0" w:color="auto"/>
      </w:divBdr>
      <w:divsChild>
        <w:div w:id="410587594">
          <w:marLeft w:val="0"/>
          <w:marRight w:val="0"/>
          <w:marTop w:val="0"/>
          <w:marBottom w:val="0"/>
          <w:divBdr>
            <w:top w:val="none" w:sz="0" w:space="0" w:color="auto"/>
            <w:left w:val="none" w:sz="0" w:space="0" w:color="auto"/>
            <w:bottom w:val="none" w:sz="0" w:space="0" w:color="auto"/>
            <w:right w:val="none" w:sz="0" w:space="0" w:color="auto"/>
          </w:divBdr>
        </w:div>
      </w:divsChild>
    </w:div>
    <w:div w:id="297731227">
      <w:bodyDiv w:val="1"/>
      <w:marLeft w:val="0"/>
      <w:marRight w:val="0"/>
      <w:marTop w:val="0"/>
      <w:marBottom w:val="0"/>
      <w:divBdr>
        <w:top w:val="none" w:sz="0" w:space="0" w:color="auto"/>
        <w:left w:val="none" w:sz="0" w:space="0" w:color="auto"/>
        <w:bottom w:val="none" w:sz="0" w:space="0" w:color="auto"/>
        <w:right w:val="none" w:sz="0" w:space="0" w:color="auto"/>
      </w:divBdr>
      <w:divsChild>
        <w:div w:id="1184439722">
          <w:marLeft w:val="0"/>
          <w:marRight w:val="0"/>
          <w:marTop w:val="0"/>
          <w:marBottom w:val="0"/>
          <w:divBdr>
            <w:top w:val="none" w:sz="0" w:space="0" w:color="auto"/>
            <w:left w:val="none" w:sz="0" w:space="0" w:color="auto"/>
            <w:bottom w:val="none" w:sz="0" w:space="0" w:color="auto"/>
            <w:right w:val="none" w:sz="0" w:space="0" w:color="auto"/>
          </w:divBdr>
        </w:div>
      </w:divsChild>
    </w:div>
    <w:div w:id="300043451">
      <w:bodyDiv w:val="1"/>
      <w:marLeft w:val="0"/>
      <w:marRight w:val="0"/>
      <w:marTop w:val="0"/>
      <w:marBottom w:val="0"/>
      <w:divBdr>
        <w:top w:val="none" w:sz="0" w:space="0" w:color="auto"/>
        <w:left w:val="none" w:sz="0" w:space="0" w:color="auto"/>
        <w:bottom w:val="none" w:sz="0" w:space="0" w:color="auto"/>
        <w:right w:val="none" w:sz="0" w:space="0" w:color="auto"/>
      </w:divBdr>
    </w:div>
    <w:div w:id="314183497">
      <w:bodyDiv w:val="1"/>
      <w:marLeft w:val="0"/>
      <w:marRight w:val="0"/>
      <w:marTop w:val="0"/>
      <w:marBottom w:val="0"/>
      <w:divBdr>
        <w:top w:val="none" w:sz="0" w:space="0" w:color="auto"/>
        <w:left w:val="none" w:sz="0" w:space="0" w:color="auto"/>
        <w:bottom w:val="none" w:sz="0" w:space="0" w:color="auto"/>
        <w:right w:val="none" w:sz="0" w:space="0" w:color="auto"/>
      </w:divBdr>
    </w:div>
    <w:div w:id="332143649">
      <w:bodyDiv w:val="1"/>
      <w:marLeft w:val="0"/>
      <w:marRight w:val="0"/>
      <w:marTop w:val="0"/>
      <w:marBottom w:val="0"/>
      <w:divBdr>
        <w:top w:val="none" w:sz="0" w:space="0" w:color="auto"/>
        <w:left w:val="none" w:sz="0" w:space="0" w:color="auto"/>
        <w:bottom w:val="none" w:sz="0" w:space="0" w:color="auto"/>
        <w:right w:val="none" w:sz="0" w:space="0" w:color="auto"/>
      </w:divBdr>
    </w:div>
    <w:div w:id="373387227">
      <w:bodyDiv w:val="1"/>
      <w:marLeft w:val="0"/>
      <w:marRight w:val="0"/>
      <w:marTop w:val="0"/>
      <w:marBottom w:val="0"/>
      <w:divBdr>
        <w:top w:val="none" w:sz="0" w:space="0" w:color="auto"/>
        <w:left w:val="none" w:sz="0" w:space="0" w:color="auto"/>
        <w:bottom w:val="none" w:sz="0" w:space="0" w:color="auto"/>
        <w:right w:val="none" w:sz="0" w:space="0" w:color="auto"/>
      </w:divBdr>
    </w:div>
    <w:div w:id="419453380">
      <w:bodyDiv w:val="1"/>
      <w:marLeft w:val="0"/>
      <w:marRight w:val="0"/>
      <w:marTop w:val="0"/>
      <w:marBottom w:val="0"/>
      <w:divBdr>
        <w:top w:val="none" w:sz="0" w:space="0" w:color="auto"/>
        <w:left w:val="none" w:sz="0" w:space="0" w:color="auto"/>
        <w:bottom w:val="none" w:sz="0" w:space="0" w:color="auto"/>
        <w:right w:val="none" w:sz="0" w:space="0" w:color="auto"/>
      </w:divBdr>
      <w:divsChild>
        <w:div w:id="1506630723">
          <w:marLeft w:val="0"/>
          <w:marRight w:val="0"/>
          <w:marTop w:val="0"/>
          <w:marBottom w:val="0"/>
          <w:divBdr>
            <w:top w:val="none" w:sz="0" w:space="0" w:color="auto"/>
            <w:left w:val="none" w:sz="0" w:space="0" w:color="auto"/>
            <w:bottom w:val="none" w:sz="0" w:space="0" w:color="auto"/>
            <w:right w:val="none" w:sz="0" w:space="0" w:color="auto"/>
          </w:divBdr>
        </w:div>
      </w:divsChild>
    </w:div>
    <w:div w:id="487749646">
      <w:bodyDiv w:val="1"/>
      <w:marLeft w:val="0"/>
      <w:marRight w:val="0"/>
      <w:marTop w:val="0"/>
      <w:marBottom w:val="0"/>
      <w:divBdr>
        <w:top w:val="none" w:sz="0" w:space="0" w:color="auto"/>
        <w:left w:val="none" w:sz="0" w:space="0" w:color="auto"/>
        <w:bottom w:val="none" w:sz="0" w:space="0" w:color="auto"/>
        <w:right w:val="none" w:sz="0" w:space="0" w:color="auto"/>
      </w:divBdr>
    </w:div>
    <w:div w:id="492189062">
      <w:bodyDiv w:val="1"/>
      <w:marLeft w:val="0"/>
      <w:marRight w:val="0"/>
      <w:marTop w:val="0"/>
      <w:marBottom w:val="0"/>
      <w:divBdr>
        <w:top w:val="none" w:sz="0" w:space="0" w:color="auto"/>
        <w:left w:val="none" w:sz="0" w:space="0" w:color="auto"/>
        <w:bottom w:val="none" w:sz="0" w:space="0" w:color="auto"/>
        <w:right w:val="none" w:sz="0" w:space="0" w:color="auto"/>
      </w:divBdr>
    </w:div>
    <w:div w:id="633871691">
      <w:bodyDiv w:val="1"/>
      <w:marLeft w:val="0"/>
      <w:marRight w:val="0"/>
      <w:marTop w:val="0"/>
      <w:marBottom w:val="0"/>
      <w:divBdr>
        <w:top w:val="none" w:sz="0" w:space="0" w:color="auto"/>
        <w:left w:val="none" w:sz="0" w:space="0" w:color="auto"/>
        <w:bottom w:val="none" w:sz="0" w:space="0" w:color="auto"/>
        <w:right w:val="none" w:sz="0" w:space="0" w:color="auto"/>
      </w:divBdr>
    </w:div>
    <w:div w:id="642386930">
      <w:bodyDiv w:val="1"/>
      <w:marLeft w:val="0"/>
      <w:marRight w:val="0"/>
      <w:marTop w:val="0"/>
      <w:marBottom w:val="0"/>
      <w:divBdr>
        <w:top w:val="none" w:sz="0" w:space="0" w:color="auto"/>
        <w:left w:val="none" w:sz="0" w:space="0" w:color="auto"/>
        <w:bottom w:val="none" w:sz="0" w:space="0" w:color="auto"/>
        <w:right w:val="none" w:sz="0" w:space="0" w:color="auto"/>
      </w:divBdr>
      <w:divsChild>
        <w:div w:id="1253053890">
          <w:marLeft w:val="0"/>
          <w:marRight w:val="0"/>
          <w:marTop w:val="0"/>
          <w:marBottom w:val="0"/>
          <w:divBdr>
            <w:top w:val="none" w:sz="0" w:space="0" w:color="auto"/>
            <w:left w:val="none" w:sz="0" w:space="0" w:color="auto"/>
            <w:bottom w:val="none" w:sz="0" w:space="0" w:color="auto"/>
            <w:right w:val="none" w:sz="0" w:space="0" w:color="auto"/>
          </w:divBdr>
        </w:div>
        <w:div w:id="1130706253">
          <w:marLeft w:val="0"/>
          <w:marRight w:val="0"/>
          <w:marTop w:val="0"/>
          <w:marBottom w:val="0"/>
          <w:divBdr>
            <w:top w:val="none" w:sz="0" w:space="0" w:color="auto"/>
            <w:left w:val="none" w:sz="0" w:space="0" w:color="auto"/>
            <w:bottom w:val="none" w:sz="0" w:space="0" w:color="auto"/>
            <w:right w:val="none" w:sz="0" w:space="0" w:color="auto"/>
          </w:divBdr>
        </w:div>
        <w:div w:id="602491423">
          <w:marLeft w:val="0"/>
          <w:marRight w:val="0"/>
          <w:marTop w:val="0"/>
          <w:marBottom w:val="0"/>
          <w:divBdr>
            <w:top w:val="none" w:sz="0" w:space="0" w:color="auto"/>
            <w:left w:val="none" w:sz="0" w:space="0" w:color="auto"/>
            <w:bottom w:val="none" w:sz="0" w:space="0" w:color="auto"/>
            <w:right w:val="none" w:sz="0" w:space="0" w:color="auto"/>
          </w:divBdr>
          <w:divsChild>
            <w:div w:id="184104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411563">
      <w:bodyDiv w:val="1"/>
      <w:marLeft w:val="0"/>
      <w:marRight w:val="0"/>
      <w:marTop w:val="0"/>
      <w:marBottom w:val="0"/>
      <w:divBdr>
        <w:top w:val="none" w:sz="0" w:space="0" w:color="auto"/>
        <w:left w:val="none" w:sz="0" w:space="0" w:color="auto"/>
        <w:bottom w:val="none" w:sz="0" w:space="0" w:color="auto"/>
        <w:right w:val="none" w:sz="0" w:space="0" w:color="auto"/>
      </w:divBdr>
    </w:div>
    <w:div w:id="694619651">
      <w:bodyDiv w:val="1"/>
      <w:marLeft w:val="0"/>
      <w:marRight w:val="0"/>
      <w:marTop w:val="0"/>
      <w:marBottom w:val="0"/>
      <w:divBdr>
        <w:top w:val="none" w:sz="0" w:space="0" w:color="auto"/>
        <w:left w:val="none" w:sz="0" w:space="0" w:color="auto"/>
        <w:bottom w:val="none" w:sz="0" w:space="0" w:color="auto"/>
        <w:right w:val="none" w:sz="0" w:space="0" w:color="auto"/>
      </w:divBdr>
    </w:div>
    <w:div w:id="749086278">
      <w:bodyDiv w:val="1"/>
      <w:marLeft w:val="0"/>
      <w:marRight w:val="0"/>
      <w:marTop w:val="0"/>
      <w:marBottom w:val="0"/>
      <w:divBdr>
        <w:top w:val="none" w:sz="0" w:space="0" w:color="auto"/>
        <w:left w:val="none" w:sz="0" w:space="0" w:color="auto"/>
        <w:bottom w:val="none" w:sz="0" w:space="0" w:color="auto"/>
        <w:right w:val="none" w:sz="0" w:space="0" w:color="auto"/>
      </w:divBdr>
      <w:divsChild>
        <w:div w:id="1492910468">
          <w:marLeft w:val="0"/>
          <w:marRight w:val="0"/>
          <w:marTop w:val="0"/>
          <w:marBottom w:val="0"/>
          <w:divBdr>
            <w:top w:val="none" w:sz="0" w:space="0" w:color="auto"/>
            <w:left w:val="none" w:sz="0" w:space="0" w:color="auto"/>
            <w:bottom w:val="none" w:sz="0" w:space="0" w:color="auto"/>
            <w:right w:val="none" w:sz="0" w:space="0" w:color="auto"/>
          </w:divBdr>
        </w:div>
      </w:divsChild>
    </w:div>
    <w:div w:id="845631169">
      <w:bodyDiv w:val="1"/>
      <w:marLeft w:val="0"/>
      <w:marRight w:val="0"/>
      <w:marTop w:val="0"/>
      <w:marBottom w:val="0"/>
      <w:divBdr>
        <w:top w:val="none" w:sz="0" w:space="0" w:color="auto"/>
        <w:left w:val="none" w:sz="0" w:space="0" w:color="auto"/>
        <w:bottom w:val="none" w:sz="0" w:space="0" w:color="auto"/>
        <w:right w:val="none" w:sz="0" w:space="0" w:color="auto"/>
      </w:divBdr>
      <w:divsChild>
        <w:div w:id="1628510748">
          <w:marLeft w:val="0"/>
          <w:marRight w:val="0"/>
          <w:marTop w:val="0"/>
          <w:marBottom w:val="0"/>
          <w:divBdr>
            <w:top w:val="none" w:sz="0" w:space="0" w:color="auto"/>
            <w:left w:val="none" w:sz="0" w:space="0" w:color="auto"/>
            <w:bottom w:val="none" w:sz="0" w:space="0" w:color="auto"/>
            <w:right w:val="none" w:sz="0" w:space="0" w:color="auto"/>
          </w:divBdr>
        </w:div>
      </w:divsChild>
    </w:div>
    <w:div w:id="859706369">
      <w:bodyDiv w:val="1"/>
      <w:marLeft w:val="0"/>
      <w:marRight w:val="0"/>
      <w:marTop w:val="0"/>
      <w:marBottom w:val="0"/>
      <w:divBdr>
        <w:top w:val="none" w:sz="0" w:space="0" w:color="auto"/>
        <w:left w:val="none" w:sz="0" w:space="0" w:color="auto"/>
        <w:bottom w:val="none" w:sz="0" w:space="0" w:color="auto"/>
        <w:right w:val="none" w:sz="0" w:space="0" w:color="auto"/>
      </w:divBdr>
    </w:div>
    <w:div w:id="876164014">
      <w:bodyDiv w:val="1"/>
      <w:marLeft w:val="0"/>
      <w:marRight w:val="0"/>
      <w:marTop w:val="0"/>
      <w:marBottom w:val="0"/>
      <w:divBdr>
        <w:top w:val="none" w:sz="0" w:space="0" w:color="auto"/>
        <w:left w:val="none" w:sz="0" w:space="0" w:color="auto"/>
        <w:bottom w:val="none" w:sz="0" w:space="0" w:color="auto"/>
        <w:right w:val="none" w:sz="0" w:space="0" w:color="auto"/>
      </w:divBdr>
    </w:div>
    <w:div w:id="919825541">
      <w:bodyDiv w:val="1"/>
      <w:marLeft w:val="0"/>
      <w:marRight w:val="0"/>
      <w:marTop w:val="0"/>
      <w:marBottom w:val="0"/>
      <w:divBdr>
        <w:top w:val="none" w:sz="0" w:space="0" w:color="auto"/>
        <w:left w:val="none" w:sz="0" w:space="0" w:color="auto"/>
        <w:bottom w:val="none" w:sz="0" w:space="0" w:color="auto"/>
        <w:right w:val="none" w:sz="0" w:space="0" w:color="auto"/>
      </w:divBdr>
    </w:div>
    <w:div w:id="997732392">
      <w:bodyDiv w:val="1"/>
      <w:marLeft w:val="0"/>
      <w:marRight w:val="0"/>
      <w:marTop w:val="0"/>
      <w:marBottom w:val="0"/>
      <w:divBdr>
        <w:top w:val="none" w:sz="0" w:space="0" w:color="auto"/>
        <w:left w:val="none" w:sz="0" w:space="0" w:color="auto"/>
        <w:bottom w:val="none" w:sz="0" w:space="0" w:color="auto"/>
        <w:right w:val="none" w:sz="0" w:space="0" w:color="auto"/>
      </w:divBdr>
      <w:divsChild>
        <w:div w:id="1221212229">
          <w:marLeft w:val="0"/>
          <w:marRight w:val="0"/>
          <w:marTop w:val="0"/>
          <w:marBottom w:val="0"/>
          <w:divBdr>
            <w:top w:val="none" w:sz="0" w:space="0" w:color="auto"/>
            <w:left w:val="none" w:sz="0" w:space="0" w:color="auto"/>
            <w:bottom w:val="none" w:sz="0" w:space="0" w:color="auto"/>
            <w:right w:val="none" w:sz="0" w:space="0" w:color="auto"/>
          </w:divBdr>
        </w:div>
      </w:divsChild>
    </w:div>
    <w:div w:id="1129519786">
      <w:bodyDiv w:val="1"/>
      <w:marLeft w:val="0"/>
      <w:marRight w:val="0"/>
      <w:marTop w:val="0"/>
      <w:marBottom w:val="0"/>
      <w:divBdr>
        <w:top w:val="none" w:sz="0" w:space="0" w:color="auto"/>
        <w:left w:val="none" w:sz="0" w:space="0" w:color="auto"/>
        <w:bottom w:val="none" w:sz="0" w:space="0" w:color="auto"/>
        <w:right w:val="none" w:sz="0" w:space="0" w:color="auto"/>
      </w:divBdr>
    </w:div>
    <w:div w:id="1134523047">
      <w:bodyDiv w:val="1"/>
      <w:marLeft w:val="0"/>
      <w:marRight w:val="0"/>
      <w:marTop w:val="0"/>
      <w:marBottom w:val="0"/>
      <w:divBdr>
        <w:top w:val="none" w:sz="0" w:space="0" w:color="auto"/>
        <w:left w:val="none" w:sz="0" w:space="0" w:color="auto"/>
        <w:bottom w:val="none" w:sz="0" w:space="0" w:color="auto"/>
        <w:right w:val="none" w:sz="0" w:space="0" w:color="auto"/>
      </w:divBdr>
    </w:div>
    <w:div w:id="1177303485">
      <w:bodyDiv w:val="1"/>
      <w:marLeft w:val="0"/>
      <w:marRight w:val="0"/>
      <w:marTop w:val="0"/>
      <w:marBottom w:val="0"/>
      <w:divBdr>
        <w:top w:val="none" w:sz="0" w:space="0" w:color="auto"/>
        <w:left w:val="none" w:sz="0" w:space="0" w:color="auto"/>
        <w:bottom w:val="none" w:sz="0" w:space="0" w:color="auto"/>
        <w:right w:val="none" w:sz="0" w:space="0" w:color="auto"/>
      </w:divBdr>
    </w:div>
    <w:div w:id="1184638185">
      <w:bodyDiv w:val="1"/>
      <w:marLeft w:val="0"/>
      <w:marRight w:val="0"/>
      <w:marTop w:val="0"/>
      <w:marBottom w:val="0"/>
      <w:divBdr>
        <w:top w:val="none" w:sz="0" w:space="0" w:color="auto"/>
        <w:left w:val="none" w:sz="0" w:space="0" w:color="auto"/>
        <w:bottom w:val="none" w:sz="0" w:space="0" w:color="auto"/>
        <w:right w:val="none" w:sz="0" w:space="0" w:color="auto"/>
      </w:divBdr>
      <w:divsChild>
        <w:div w:id="2101365954">
          <w:marLeft w:val="0"/>
          <w:marRight w:val="0"/>
          <w:marTop w:val="0"/>
          <w:marBottom w:val="0"/>
          <w:divBdr>
            <w:top w:val="none" w:sz="0" w:space="0" w:color="auto"/>
            <w:left w:val="none" w:sz="0" w:space="0" w:color="auto"/>
            <w:bottom w:val="none" w:sz="0" w:space="0" w:color="auto"/>
            <w:right w:val="none" w:sz="0" w:space="0" w:color="auto"/>
          </w:divBdr>
        </w:div>
      </w:divsChild>
    </w:div>
    <w:div w:id="1240948738">
      <w:bodyDiv w:val="1"/>
      <w:marLeft w:val="0"/>
      <w:marRight w:val="0"/>
      <w:marTop w:val="0"/>
      <w:marBottom w:val="0"/>
      <w:divBdr>
        <w:top w:val="none" w:sz="0" w:space="0" w:color="auto"/>
        <w:left w:val="none" w:sz="0" w:space="0" w:color="auto"/>
        <w:bottom w:val="none" w:sz="0" w:space="0" w:color="auto"/>
        <w:right w:val="none" w:sz="0" w:space="0" w:color="auto"/>
      </w:divBdr>
    </w:div>
    <w:div w:id="1243104546">
      <w:bodyDiv w:val="1"/>
      <w:marLeft w:val="0"/>
      <w:marRight w:val="0"/>
      <w:marTop w:val="0"/>
      <w:marBottom w:val="0"/>
      <w:divBdr>
        <w:top w:val="none" w:sz="0" w:space="0" w:color="auto"/>
        <w:left w:val="none" w:sz="0" w:space="0" w:color="auto"/>
        <w:bottom w:val="none" w:sz="0" w:space="0" w:color="auto"/>
        <w:right w:val="none" w:sz="0" w:space="0" w:color="auto"/>
      </w:divBdr>
    </w:div>
    <w:div w:id="1258098166">
      <w:bodyDiv w:val="1"/>
      <w:marLeft w:val="0"/>
      <w:marRight w:val="0"/>
      <w:marTop w:val="0"/>
      <w:marBottom w:val="0"/>
      <w:divBdr>
        <w:top w:val="none" w:sz="0" w:space="0" w:color="auto"/>
        <w:left w:val="none" w:sz="0" w:space="0" w:color="auto"/>
        <w:bottom w:val="none" w:sz="0" w:space="0" w:color="auto"/>
        <w:right w:val="none" w:sz="0" w:space="0" w:color="auto"/>
      </w:divBdr>
    </w:div>
    <w:div w:id="1262837367">
      <w:bodyDiv w:val="1"/>
      <w:marLeft w:val="0"/>
      <w:marRight w:val="0"/>
      <w:marTop w:val="0"/>
      <w:marBottom w:val="0"/>
      <w:divBdr>
        <w:top w:val="none" w:sz="0" w:space="0" w:color="auto"/>
        <w:left w:val="none" w:sz="0" w:space="0" w:color="auto"/>
        <w:bottom w:val="none" w:sz="0" w:space="0" w:color="auto"/>
        <w:right w:val="none" w:sz="0" w:space="0" w:color="auto"/>
      </w:divBdr>
    </w:div>
    <w:div w:id="1312830239">
      <w:bodyDiv w:val="1"/>
      <w:marLeft w:val="0"/>
      <w:marRight w:val="0"/>
      <w:marTop w:val="0"/>
      <w:marBottom w:val="0"/>
      <w:divBdr>
        <w:top w:val="none" w:sz="0" w:space="0" w:color="auto"/>
        <w:left w:val="none" w:sz="0" w:space="0" w:color="auto"/>
        <w:bottom w:val="none" w:sz="0" w:space="0" w:color="auto"/>
        <w:right w:val="none" w:sz="0" w:space="0" w:color="auto"/>
      </w:divBdr>
      <w:divsChild>
        <w:div w:id="1508792319">
          <w:marLeft w:val="0"/>
          <w:marRight w:val="0"/>
          <w:marTop w:val="0"/>
          <w:marBottom w:val="0"/>
          <w:divBdr>
            <w:top w:val="none" w:sz="0" w:space="0" w:color="auto"/>
            <w:left w:val="none" w:sz="0" w:space="0" w:color="auto"/>
            <w:bottom w:val="none" w:sz="0" w:space="0" w:color="auto"/>
            <w:right w:val="none" w:sz="0" w:space="0" w:color="auto"/>
          </w:divBdr>
        </w:div>
        <w:div w:id="260572384">
          <w:marLeft w:val="0"/>
          <w:marRight w:val="0"/>
          <w:marTop w:val="0"/>
          <w:marBottom w:val="0"/>
          <w:divBdr>
            <w:top w:val="none" w:sz="0" w:space="0" w:color="auto"/>
            <w:left w:val="none" w:sz="0" w:space="0" w:color="auto"/>
            <w:bottom w:val="none" w:sz="0" w:space="0" w:color="auto"/>
            <w:right w:val="none" w:sz="0" w:space="0" w:color="auto"/>
          </w:divBdr>
          <w:divsChild>
            <w:div w:id="31274922">
              <w:marLeft w:val="0"/>
              <w:marRight w:val="0"/>
              <w:marTop w:val="0"/>
              <w:marBottom w:val="0"/>
              <w:divBdr>
                <w:top w:val="none" w:sz="0" w:space="0" w:color="auto"/>
                <w:left w:val="none" w:sz="0" w:space="0" w:color="auto"/>
                <w:bottom w:val="none" w:sz="0" w:space="0" w:color="auto"/>
                <w:right w:val="none" w:sz="0" w:space="0" w:color="auto"/>
              </w:divBdr>
            </w:div>
          </w:divsChild>
        </w:div>
        <w:div w:id="244649997">
          <w:marLeft w:val="0"/>
          <w:marRight w:val="0"/>
          <w:marTop w:val="0"/>
          <w:marBottom w:val="0"/>
          <w:divBdr>
            <w:top w:val="none" w:sz="0" w:space="0" w:color="auto"/>
            <w:left w:val="none" w:sz="0" w:space="0" w:color="auto"/>
            <w:bottom w:val="none" w:sz="0" w:space="0" w:color="auto"/>
            <w:right w:val="none" w:sz="0" w:space="0" w:color="auto"/>
          </w:divBdr>
        </w:div>
      </w:divsChild>
    </w:div>
    <w:div w:id="1422294333">
      <w:bodyDiv w:val="1"/>
      <w:marLeft w:val="0"/>
      <w:marRight w:val="0"/>
      <w:marTop w:val="0"/>
      <w:marBottom w:val="0"/>
      <w:divBdr>
        <w:top w:val="none" w:sz="0" w:space="0" w:color="auto"/>
        <w:left w:val="none" w:sz="0" w:space="0" w:color="auto"/>
        <w:bottom w:val="none" w:sz="0" w:space="0" w:color="auto"/>
        <w:right w:val="none" w:sz="0" w:space="0" w:color="auto"/>
      </w:divBdr>
      <w:divsChild>
        <w:div w:id="1109351689">
          <w:marLeft w:val="0"/>
          <w:marRight w:val="0"/>
          <w:marTop w:val="0"/>
          <w:marBottom w:val="0"/>
          <w:divBdr>
            <w:top w:val="none" w:sz="0" w:space="0" w:color="auto"/>
            <w:left w:val="none" w:sz="0" w:space="0" w:color="auto"/>
            <w:bottom w:val="none" w:sz="0" w:space="0" w:color="auto"/>
            <w:right w:val="none" w:sz="0" w:space="0" w:color="auto"/>
          </w:divBdr>
        </w:div>
      </w:divsChild>
    </w:div>
    <w:div w:id="1448163244">
      <w:bodyDiv w:val="1"/>
      <w:marLeft w:val="0"/>
      <w:marRight w:val="0"/>
      <w:marTop w:val="0"/>
      <w:marBottom w:val="0"/>
      <w:divBdr>
        <w:top w:val="none" w:sz="0" w:space="0" w:color="auto"/>
        <w:left w:val="none" w:sz="0" w:space="0" w:color="auto"/>
        <w:bottom w:val="none" w:sz="0" w:space="0" w:color="auto"/>
        <w:right w:val="none" w:sz="0" w:space="0" w:color="auto"/>
      </w:divBdr>
      <w:divsChild>
        <w:div w:id="1890263885">
          <w:marLeft w:val="0"/>
          <w:marRight w:val="0"/>
          <w:marTop w:val="0"/>
          <w:marBottom w:val="0"/>
          <w:divBdr>
            <w:top w:val="none" w:sz="0" w:space="0" w:color="auto"/>
            <w:left w:val="none" w:sz="0" w:space="0" w:color="auto"/>
            <w:bottom w:val="none" w:sz="0" w:space="0" w:color="auto"/>
            <w:right w:val="none" w:sz="0" w:space="0" w:color="auto"/>
          </w:divBdr>
        </w:div>
      </w:divsChild>
    </w:div>
    <w:div w:id="1458450339">
      <w:bodyDiv w:val="1"/>
      <w:marLeft w:val="0"/>
      <w:marRight w:val="0"/>
      <w:marTop w:val="0"/>
      <w:marBottom w:val="0"/>
      <w:divBdr>
        <w:top w:val="none" w:sz="0" w:space="0" w:color="auto"/>
        <w:left w:val="none" w:sz="0" w:space="0" w:color="auto"/>
        <w:bottom w:val="none" w:sz="0" w:space="0" w:color="auto"/>
        <w:right w:val="none" w:sz="0" w:space="0" w:color="auto"/>
      </w:divBdr>
      <w:divsChild>
        <w:div w:id="621888883">
          <w:marLeft w:val="0"/>
          <w:marRight w:val="0"/>
          <w:marTop w:val="0"/>
          <w:marBottom w:val="0"/>
          <w:divBdr>
            <w:top w:val="none" w:sz="0" w:space="0" w:color="auto"/>
            <w:left w:val="none" w:sz="0" w:space="0" w:color="auto"/>
            <w:bottom w:val="none" w:sz="0" w:space="0" w:color="auto"/>
            <w:right w:val="none" w:sz="0" w:space="0" w:color="auto"/>
          </w:divBdr>
        </w:div>
      </w:divsChild>
    </w:div>
    <w:div w:id="1502281953">
      <w:bodyDiv w:val="1"/>
      <w:marLeft w:val="0"/>
      <w:marRight w:val="0"/>
      <w:marTop w:val="0"/>
      <w:marBottom w:val="0"/>
      <w:divBdr>
        <w:top w:val="none" w:sz="0" w:space="0" w:color="auto"/>
        <w:left w:val="none" w:sz="0" w:space="0" w:color="auto"/>
        <w:bottom w:val="none" w:sz="0" w:space="0" w:color="auto"/>
        <w:right w:val="none" w:sz="0" w:space="0" w:color="auto"/>
      </w:divBdr>
    </w:div>
    <w:div w:id="1509715939">
      <w:bodyDiv w:val="1"/>
      <w:marLeft w:val="0"/>
      <w:marRight w:val="0"/>
      <w:marTop w:val="0"/>
      <w:marBottom w:val="0"/>
      <w:divBdr>
        <w:top w:val="none" w:sz="0" w:space="0" w:color="auto"/>
        <w:left w:val="none" w:sz="0" w:space="0" w:color="auto"/>
        <w:bottom w:val="none" w:sz="0" w:space="0" w:color="auto"/>
        <w:right w:val="none" w:sz="0" w:space="0" w:color="auto"/>
      </w:divBdr>
      <w:divsChild>
        <w:div w:id="1669601501">
          <w:marLeft w:val="0"/>
          <w:marRight w:val="0"/>
          <w:marTop w:val="0"/>
          <w:marBottom w:val="0"/>
          <w:divBdr>
            <w:top w:val="none" w:sz="0" w:space="0" w:color="auto"/>
            <w:left w:val="none" w:sz="0" w:space="0" w:color="auto"/>
            <w:bottom w:val="none" w:sz="0" w:space="0" w:color="auto"/>
            <w:right w:val="none" w:sz="0" w:space="0" w:color="auto"/>
          </w:divBdr>
        </w:div>
      </w:divsChild>
    </w:div>
    <w:div w:id="1510683665">
      <w:bodyDiv w:val="1"/>
      <w:marLeft w:val="0"/>
      <w:marRight w:val="0"/>
      <w:marTop w:val="0"/>
      <w:marBottom w:val="0"/>
      <w:divBdr>
        <w:top w:val="none" w:sz="0" w:space="0" w:color="auto"/>
        <w:left w:val="none" w:sz="0" w:space="0" w:color="auto"/>
        <w:bottom w:val="none" w:sz="0" w:space="0" w:color="auto"/>
        <w:right w:val="none" w:sz="0" w:space="0" w:color="auto"/>
      </w:divBdr>
    </w:div>
    <w:div w:id="1533419403">
      <w:bodyDiv w:val="1"/>
      <w:marLeft w:val="0"/>
      <w:marRight w:val="0"/>
      <w:marTop w:val="0"/>
      <w:marBottom w:val="0"/>
      <w:divBdr>
        <w:top w:val="none" w:sz="0" w:space="0" w:color="auto"/>
        <w:left w:val="none" w:sz="0" w:space="0" w:color="auto"/>
        <w:bottom w:val="none" w:sz="0" w:space="0" w:color="auto"/>
        <w:right w:val="none" w:sz="0" w:space="0" w:color="auto"/>
      </w:divBdr>
      <w:divsChild>
        <w:div w:id="671178627">
          <w:marLeft w:val="0"/>
          <w:marRight w:val="0"/>
          <w:marTop w:val="0"/>
          <w:marBottom w:val="0"/>
          <w:divBdr>
            <w:top w:val="none" w:sz="0" w:space="0" w:color="auto"/>
            <w:left w:val="none" w:sz="0" w:space="0" w:color="auto"/>
            <w:bottom w:val="none" w:sz="0" w:space="0" w:color="auto"/>
            <w:right w:val="none" w:sz="0" w:space="0" w:color="auto"/>
          </w:divBdr>
        </w:div>
      </w:divsChild>
    </w:div>
    <w:div w:id="1556235199">
      <w:bodyDiv w:val="1"/>
      <w:marLeft w:val="0"/>
      <w:marRight w:val="0"/>
      <w:marTop w:val="0"/>
      <w:marBottom w:val="0"/>
      <w:divBdr>
        <w:top w:val="none" w:sz="0" w:space="0" w:color="auto"/>
        <w:left w:val="none" w:sz="0" w:space="0" w:color="auto"/>
        <w:bottom w:val="none" w:sz="0" w:space="0" w:color="auto"/>
        <w:right w:val="none" w:sz="0" w:space="0" w:color="auto"/>
      </w:divBdr>
    </w:div>
    <w:div w:id="1658801080">
      <w:bodyDiv w:val="1"/>
      <w:marLeft w:val="0"/>
      <w:marRight w:val="0"/>
      <w:marTop w:val="0"/>
      <w:marBottom w:val="0"/>
      <w:divBdr>
        <w:top w:val="none" w:sz="0" w:space="0" w:color="auto"/>
        <w:left w:val="none" w:sz="0" w:space="0" w:color="auto"/>
        <w:bottom w:val="none" w:sz="0" w:space="0" w:color="auto"/>
        <w:right w:val="none" w:sz="0" w:space="0" w:color="auto"/>
      </w:divBdr>
      <w:divsChild>
        <w:div w:id="1713112837">
          <w:marLeft w:val="0"/>
          <w:marRight w:val="0"/>
          <w:marTop w:val="0"/>
          <w:marBottom w:val="0"/>
          <w:divBdr>
            <w:top w:val="none" w:sz="0" w:space="0" w:color="auto"/>
            <w:left w:val="none" w:sz="0" w:space="0" w:color="auto"/>
            <w:bottom w:val="none" w:sz="0" w:space="0" w:color="auto"/>
            <w:right w:val="none" w:sz="0" w:space="0" w:color="auto"/>
          </w:divBdr>
        </w:div>
      </w:divsChild>
    </w:div>
    <w:div w:id="1740398076">
      <w:bodyDiv w:val="1"/>
      <w:marLeft w:val="0"/>
      <w:marRight w:val="0"/>
      <w:marTop w:val="0"/>
      <w:marBottom w:val="0"/>
      <w:divBdr>
        <w:top w:val="none" w:sz="0" w:space="0" w:color="auto"/>
        <w:left w:val="none" w:sz="0" w:space="0" w:color="auto"/>
        <w:bottom w:val="none" w:sz="0" w:space="0" w:color="auto"/>
        <w:right w:val="none" w:sz="0" w:space="0" w:color="auto"/>
      </w:divBdr>
    </w:div>
    <w:div w:id="1870870736">
      <w:bodyDiv w:val="1"/>
      <w:marLeft w:val="0"/>
      <w:marRight w:val="0"/>
      <w:marTop w:val="0"/>
      <w:marBottom w:val="0"/>
      <w:divBdr>
        <w:top w:val="none" w:sz="0" w:space="0" w:color="auto"/>
        <w:left w:val="none" w:sz="0" w:space="0" w:color="auto"/>
        <w:bottom w:val="none" w:sz="0" w:space="0" w:color="auto"/>
        <w:right w:val="none" w:sz="0" w:space="0" w:color="auto"/>
      </w:divBdr>
    </w:div>
    <w:div w:id="1883597050">
      <w:bodyDiv w:val="1"/>
      <w:marLeft w:val="0"/>
      <w:marRight w:val="0"/>
      <w:marTop w:val="0"/>
      <w:marBottom w:val="0"/>
      <w:divBdr>
        <w:top w:val="none" w:sz="0" w:space="0" w:color="auto"/>
        <w:left w:val="none" w:sz="0" w:space="0" w:color="auto"/>
        <w:bottom w:val="none" w:sz="0" w:space="0" w:color="auto"/>
        <w:right w:val="none" w:sz="0" w:space="0" w:color="auto"/>
      </w:divBdr>
      <w:divsChild>
        <w:div w:id="1387559981">
          <w:marLeft w:val="0"/>
          <w:marRight w:val="0"/>
          <w:marTop w:val="0"/>
          <w:marBottom w:val="0"/>
          <w:divBdr>
            <w:top w:val="none" w:sz="0" w:space="0" w:color="auto"/>
            <w:left w:val="none" w:sz="0" w:space="0" w:color="auto"/>
            <w:bottom w:val="none" w:sz="0" w:space="0" w:color="auto"/>
            <w:right w:val="none" w:sz="0" w:space="0" w:color="auto"/>
          </w:divBdr>
        </w:div>
      </w:divsChild>
    </w:div>
    <w:div w:id="1892304178">
      <w:bodyDiv w:val="1"/>
      <w:marLeft w:val="0"/>
      <w:marRight w:val="0"/>
      <w:marTop w:val="0"/>
      <w:marBottom w:val="0"/>
      <w:divBdr>
        <w:top w:val="none" w:sz="0" w:space="0" w:color="auto"/>
        <w:left w:val="none" w:sz="0" w:space="0" w:color="auto"/>
        <w:bottom w:val="none" w:sz="0" w:space="0" w:color="auto"/>
        <w:right w:val="none" w:sz="0" w:space="0" w:color="auto"/>
      </w:divBdr>
    </w:div>
    <w:div w:id="1916360096">
      <w:bodyDiv w:val="1"/>
      <w:marLeft w:val="0"/>
      <w:marRight w:val="0"/>
      <w:marTop w:val="0"/>
      <w:marBottom w:val="0"/>
      <w:divBdr>
        <w:top w:val="none" w:sz="0" w:space="0" w:color="auto"/>
        <w:left w:val="none" w:sz="0" w:space="0" w:color="auto"/>
        <w:bottom w:val="none" w:sz="0" w:space="0" w:color="auto"/>
        <w:right w:val="none" w:sz="0" w:space="0" w:color="auto"/>
      </w:divBdr>
      <w:divsChild>
        <w:div w:id="1028407277">
          <w:marLeft w:val="0"/>
          <w:marRight w:val="0"/>
          <w:marTop w:val="0"/>
          <w:marBottom w:val="0"/>
          <w:divBdr>
            <w:top w:val="none" w:sz="0" w:space="0" w:color="auto"/>
            <w:left w:val="none" w:sz="0" w:space="0" w:color="auto"/>
            <w:bottom w:val="none" w:sz="0" w:space="0" w:color="auto"/>
            <w:right w:val="none" w:sz="0" w:space="0" w:color="auto"/>
          </w:divBdr>
        </w:div>
      </w:divsChild>
    </w:div>
    <w:div w:id="1933204186">
      <w:bodyDiv w:val="1"/>
      <w:marLeft w:val="0"/>
      <w:marRight w:val="0"/>
      <w:marTop w:val="0"/>
      <w:marBottom w:val="0"/>
      <w:divBdr>
        <w:top w:val="none" w:sz="0" w:space="0" w:color="auto"/>
        <w:left w:val="none" w:sz="0" w:space="0" w:color="auto"/>
        <w:bottom w:val="none" w:sz="0" w:space="0" w:color="auto"/>
        <w:right w:val="none" w:sz="0" w:space="0" w:color="auto"/>
      </w:divBdr>
    </w:div>
    <w:div w:id="1986736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org/apps/news/story.asp?NewsID=56144"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womensmediacenter.com/bsdimg/statusreport/20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774364-DFA6-4A48-AA2F-2B468811F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9702</Words>
  <Characters>55304</Characters>
  <Application>Microsoft Office Word</Application>
  <DocSecurity>0</DocSecurity>
  <Lines>460</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2019-03-28T21:07:00Z</dcterms:created>
  <dcterms:modified xsi:type="dcterms:W3CDTF">2019-04-04T22:13:00Z</dcterms:modified>
</cp:coreProperties>
</file>