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64" w:rsidRDefault="00701E87">
      <w:pPr>
        <w:pStyle w:val="BodyText"/>
        <w:spacing w:before="109" w:line="237" w:lineRule="auto"/>
        <w:ind w:left="217"/>
      </w:pPr>
      <w:r>
        <w:rPr>
          <w:noProof/>
          <w:lang w:bidi="ar-SA"/>
        </w:rPr>
        <w:drawing>
          <wp:anchor distT="0" distB="0" distL="0" distR="0" simplePos="0" relativeHeight="251654144" behindDoc="0" locked="0" layoutInCell="1" allowOverlap="1">
            <wp:simplePos x="0" y="0"/>
            <wp:positionH relativeFrom="page">
              <wp:posOffset>457200</wp:posOffset>
            </wp:positionH>
            <wp:positionV relativeFrom="page">
              <wp:posOffset>382151</wp:posOffset>
            </wp:positionV>
            <wp:extent cx="3368166" cy="4953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68166" cy="495325"/>
                    </a:xfrm>
                    <a:prstGeom prst="rect">
                      <a:avLst/>
                    </a:prstGeom>
                  </pic:spPr>
                </pic:pic>
              </a:graphicData>
            </a:graphic>
          </wp:anchor>
        </w:drawing>
      </w:r>
      <w:r w:rsidR="00297D46">
        <w:t>All College of Nursing faculty</w:t>
      </w:r>
      <w:r>
        <w:t xml:space="preserve"> are required to be in progress of completing immunization documentation listed be</w:t>
      </w:r>
      <w:r w:rsidR="00297D46">
        <w:t>low.</w:t>
      </w:r>
      <w:r>
        <w:t xml:space="preserve"> </w:t>
      </w:r>
      <w:r w:rsidR="00297D46">
        <w:t xml:space="preserve"> </w:t>
      </w:r>
      <w:r>
        <w:t>Immunization documentation must be submitted directly to</w:t>
      </w:r>
      <w:r w:rsidR="00297D46">
        <w:t xml:space="preserve"> Employee Health,</w:t>
      </w:r>
      <w:r>
        <w:t xml:space="preserve"> please email </w:t>
      </w:r>
      <w:r w:rsidR="00297D46">
        <w:t>documentation</w:t>
      </w:r>
      <w:r>
        <w:t xml:space="preserve"> to </w:t>
      </w:r>
      <w:hyperlink r:id="rId8" w:history="1">
        <w:r w:rsidR="00297D46" w:rsidRPr="00185FAA">
          <w:rPr>
            <w:rStyle w:val="Hyperlink"/>
          </w:rPr>
          <w:t>employeehealth@osumc.edu</w:t>
        </w:r>
      </w:hyperlink>
      <w:r w:rsidR="00297D46">
        <w:t>.</w:t>
      </w:r>
      <w:bookmarkStart w:id="0" w:name="_GoBack"/>
      <w:bookmarkEnd w:id="0"/>
    </w:p>
    <w:p w:rsidR="002B3264" w:rsidRDefault="006E36B4">
      <w:pPr>
        <w:pStyle w:val="BodyText"/>
        <w:spacing w:before="121" w:line="264" w:lineRule="auto"/>
        <w:ind w:left="222" w:right="227"/>
      </w:pPr>
      <w:r>
        <w:pict>
          <v:shapetype id="_x0000_t202" coordsize="21600,21600" o:spt="202" path="m,l,21600r21600,l21600,xe">
            <v:stroke joinstyle="miter"/>
            <v:path gradientshapeok="t" o:connecttype="rect"/>
          </v:shapetype>
          <v:shape id="_x0000_s1031" type="#_x0000_t202" style="position:absolute;left:0;text-align:left;margin-left:39.35pt;margin-top:74.1pt;width:538.25pt;height:24.35pt;z-index:-251660288;mso-wrap-distance-left:0;mso-wrap-distance-right:0;mso-position-horizontal-relative:page" fillcolor="gray" strokeweight="2pt">
            <v:textbox inset="0,0,0,0">
              <w:txbxContent>
                <w:p w:rsidR="002B3264" w:rsidRDefault="00701E87">
                  <w:pPr>
                    <w:spacing w:before="61"/>
                    <w:ind w:left="57"/>
                    <w:rPr>
                      <w:rFonts w:ascii="Calibri"/>
                      <w:b/>
                      <w:sz w:val="24"/>
                    </w:rPr>
                  </w:pPr>
                  <w:r>
                    <w:rPr>
                      <w:rFonts w:ascii="Calibri"/>
                      <w:b/>
                      <w:color w:val="FFFFFF"/>
                      <w:sz w:val="24"/>
                    </w:rPr>
                    <w:t>Hepatitis B:</w:t>
                  </w:r>
                </w:p>
              </w:txbxContent>
            </v:textbox>
            <w10:wrap type="topAndBottom" anchorx="page"/>
          </v:shape>
        </w:pict>
      </w:r>
      <w:r w:rsidR="00297D46">
        <w:t>If the faculty member</w:t>
      </w:r>
      <w:r w:rsidR="00701E87">
        <w:t xml:space="preserve"> is in progress of re-vaccinat</w:t>
      </w:r>
      <w:r w:rsidR="00297D46">
        <w:t>ion for Hepatitis B, the faculty</w:t>
      </w:r>
      <w:r w:rsidR="00701E87">
        <w:t xml:space="preserve"> will be considered tempora</w:t>
      </w:r>
      <w:r w:rsidR="00297D46">
        <w:t>rily compliant; however faculty</w:t>
      </w:r>
      <w:r w:rsidR="00701E87">
        <w:t xml:space="preserve"> are required to submit the necessary paperwork to</w:t>
      </w:r>
      <w:r w:rsidR="00297D46">
        <w:t xml:space="preserve"> Employee Health</w:t>
      </w:r>
      <w:r w:rsidR="00701E87">
        <w:t xml:space="preserve"> after each step of the immunization process. To begin this process, please email </w:t>
      </w:r>
      <w:hyperlink r:id="rId9" w:history="1">
        <w:r w:rsidR="00297D46" w:rsidRPr="00185FAA">
          <w:rPr>
            <w:rStyle w:val="Hyperlink"/>
          </w:rPr>
          <w:t>employeehealth@osumc.edu.</w:t>
        </w:r>
      </w:hyperlink>
    </w:p>
    <w:p w:rsidR="002B3264" w:rsidRDefault="00701E87">
      <w:pPr>
        <w:pStyle w:val="ListParagraph"/>
        <w:numPr>
          <w:ilvl w:val="0"/>
          <w:numId w:val="1"/>
        </w:numPr>
        <w:tabs>
          <w:tab w:val="left" w:pos="599"/>
          <w:tab w:val="left" w:pos="600"/>
        </w:tabs>
        <w:spacing w:before="6"/>
        <w:ind w:hanging="679"/>
        <w:rPr>
          <w:sz w:val="24"/>
        </w:rPr>
      </w:pPr>
      <w:r>
        <w:rPr>
          <w:sz w:val="24"/>
        </w:rPr>
        <w:t>To achieve compliance, the following two requirements must be</w:t>
      </w:r>
      <w:r>
        <w:rPr>
          <w:spacing w:val="-4"/>
          <w:sz w:val="24"/>
        </w:rPr>
        <w:t xml:space="preserve"> </w:t>
      </w:r>
      <w:r>
        <w:rPr>
          <w:sz w:val="24"/>
        </w:rPr>
        <w:t>completed:</w:t>
      </w:r>
    </w:p>
    <w:p w:rsidR="002B3264" w:rsidRDefault="00701E87">
      <w:pPr>
        <w:pStyle w:val="ListParagraph"/>
        <w:numPr>
          <w:ilvl w:val="1"/>
          <w:numId w:val="1"/>
        </w:numPr>
        <w:tabs>
          <w:tab w:val="left" w:pos="2280"/>
        </w:tabs>
        <w:rPr>
          <w:sz w:val="24"/>
        </w:rPr>
      </w:pPr>
      <w:r>
        <w:rPr>
          <w:sz w:val="24"/>
        </w:rPr>
        <w:t>Hepatitis B Surface Antibody Test</w:t>
      </w:r>
      <w:r>
        <w:rPr>
          <w:spacing w:val="-11"/>
          <w:sz w:val="24"/>
        </w:rPr>
        <w:t xml:space="preserve"> </w:t>
      </w:r>
      <w:r>
        <w:rPr>
          <w:sz w:val="24"/>
        </w:rPr>
        <w:t>(Titer)</w:t>
      </w:r>
    </w:p>
    <w:p w:rsidR="002B3264" w:rsidRDefault="00701E87">
      <w:pPr>
        <w:pStyle w:val="ListParagraph"/>
        <w:numPr>
          <w:ilvl w:val="2"/>
          <w:numId w:val="1"/>
        </w:numPr>
        <w:tabs>
          <w:tab w:val="left" w:pos="2759"/>
          <w:tab w:val="left" w:pos="2760"/>
        </w:tabs>
        <w:spacing w:before="146"/>
        <w:rPr>
          <w:sz w:val="24"/>
        </w:rPr>
      </w:pPr>
      <w:r>
        <w:rPr>
          <w:sz w:val="24"/>
        </w:rPr>
        <w:t>The titer must be positive</w:t>
      </w:r>
      <w:r>
        <w:rPr>
          <w:spacing w:val="-6"/>
          <w:sz w:val="24"/>
        </w:rPr>
        <w:t xml:space="preserve"> </w:t>
      </w:r>
      <w:r>
        <w:rPr>
          <w:sz w:val="24"/>
        </w:rPr>
        <w:t>(reactive).</w:t>
      </w:r>
    </w:p>
    <w:p w:rsidR="002B3264" w:rsidRDefault="00701E87">
      <w:pPr>
        <w:pStyle w:val="ListParagraph"/>
        <w:numPr>
          <w:ilvl w:val="2"/>
          <w:numId w:val="1"/>
        </w:numPr>
        <w:tabs>
          <w:tab w:val="left" w:pos="2759"/>
          <w:tab w:val="left" w:pos="2760"/>
        </w:tabs>
        <w:rPr>
          <w:sz w:val="24"/>
        </w:rPr>
      </w:pPr>
      <w:r>
        <w:rPr>
          <w:sz w:val="24"/>
        </w:rPr>
        <w:t>If the titer is negative, completion of the hepatitis B vaccine series is</w:t>
      </w:r>
      <w:r>
        <w:rPr>
          <w:spacing w:val="-11"/>
          <w:sz w:val="24"/>
        </w:rPr>
        <w:t xml:space="preserve"> </w:t>
      </w:r>
      <w:r>
        <w:rPr>
          <w:sz w:val="24"/>
        </w:rPr>
        <w:t>required.</w:t>
      </w:r>
    </w:p>
    <w:p w:rsidR="002B3264" w:rsidRDefault="00701E87">
      <w:pPr>
        <w:pStyle w:val="ListParagraph"/>
        <w:numPr>
          <w:ilvl w:val="1"/>
          <w:numId w:val="1"/>
        </w:numPr>
        <w:tabs>
          <w:tab w:val="left" w:pos="2280"/>
        </w:tabs>
        <w:spacing w:before="146"/>
        <w:rPr>
          <w:sz w:val="24"/>
        </w:rPr>
      </w:pPr>
      <w:r>
        <w:rPr>
          <w:sz w:val="24"/>
        </w:rPr>
        <w:t>Hepatitis B Vaccine</w:t>
      </w:r>
      <w:r>
        <w:rPr>
          <w:spacing w:val="-5"/>
          <w:sz w:val="24"/>
        </w:rPr>
        <w:t xml:space="preserve"> </w:t>
      </w:r>
      <w:r>
        <w:rPr>
          <w:sz w:val="24"/>
        </w:rPr>
        <w:t>Series</w:t>
      </w:r>
    </w:p>
    <w:p w:rsidR="002B3264" w:rsidRDefault="00701E87">
      <w:pPr>
        <w:pStyle w:val="ListParagraph"/>
        <w:numPr>
          <w:ilvl w:val="2"/>
          <w:numId w:val="1"/>
        </w:numPr>
        <w:tabs>
          <w:tab w:val="left" w:pos="2754"/>
          <w:tab w:val="left" w:pos="2755"/>
        </w:tabs>
        <w:spacing w:line="256" w:lineRule="auto"/>
        <w:ind w:left="2754" w:right="331" w:hanging="364"/>
        <w:rPr>
          <w:sz w:val="24"/>
        </w:rPr>
      </w:pPr>
      <w:r>
        <w:rPr>
          <w:sz w:val="24"/>
        </w:rPr>
        <w:t>Documentation of three (3) shot series. The 2</w:t>
      </w:r>
      <w:r>
        <w:rPr>
          <w:sz w:val="24"/>
          <w:vertAlign w:val="superscript"/>
        </w:rPr>
        <w:t>nd</w:t>
      </w:r>
      <w:r>
        <w:rPr>
          <w:sz w:val="24"/>
        </w:rPr>
        <w:t xml:space="preserve"> dose should be administered at</w:t>
      </w:r>
      <w:r>
        <w:rPr>
          <w:spacing w:val="-19"/>
          <w:sz w:val="24"/>
        </w:rPr>
        <w:t xml:space="preserve"> </w:t>
      </w:r>
      <w:r>
        <w:rPr>
          <w:sz w:val="24"/>
        </w:rPr>
        <w:t>least one (1) month after the 1</w:t>
      </w:r>
      <w:r>
        <w:rPr>
          <w:sz w:val="24"/>
          <w:vertAlign w:val="superscript"/>
        </w:rPr>
        <w:t>st</w:t>
      </w:r>
      <w:r>
        <w:rPr>
          <w:sz w:val="24"/>
        </w:rPr>
        <w:t xml:space="preserve"> dose; the 3</w:t>
      </w:r>
      <w:r>
        <w:rPr>
          <w:sz w:val="24"/>
          <w:vertAlign w:val="superscript"/>
        </w:rPr>
        <w:t>rd</w:t>
      </w:r>
      <w:r>
        <w:rPr>
          <w:sz w:val="24"/>
        </w:rPr>
        <w:t xml:space="preserve"> dose should be administered at least six (6) months after the first dose with a minimum of two (2) months between the 2</w:t>
      </w:r>
      <w:r>
        <w:rPr>
          <w:sz w:val="24"/>
          <w:vertAlign w:val="superscript"/>
        </w:rPr>
        <w:t>nd</w:t>
      </w:r>
      <w:r>
        <w:rPr>
          <w:sz w:val="24"/>
        </w:rPr>
        <w:t xml:space="preserve"> and</w:t>
      </w:r>
      <w:r>
        <w:rPr>
          <w:position w:val="-10"/>
          <w:sz w:val="24"/>
        </w:rPr>
        <w:t xml:space="preserve"> 3</w:t>
      </w:r>
      <w:proofErr w:type="spellStart"/>
      <w:r>
        <w:rPr>
          <w:sz w:val="15"/>
        </w:rPr>
        <w:t>rd</w:t>
      </w:r>
      <w:proofErr w:type="spellEnd"/>
      <w:r>
        <w:rPr>
          <w:position w:val="-10"/>
          <w:sz w:val="24"/>
        </w:rPr>
        <w:t>.</w:t>
      </w:r>
    </w:p>
    <w:p w:rsidR="002B3264" w:rsidRDefault="00701E87">
      <w:pPr>
        <w:pStyle w:val="ListParagraph"/>
        <w:numPr>
          <w:ilvl w:val="2"/>
          <w:numId w:val="1"/>
        </w:numPr>
        <w:tabs>
          <w:tab w:val="left" w:pos="2754"/>
          <w:tab w:val="left" w:pos="2755"/>
        </w:tabs>
        <w:spacing w:before="122" w:line="264" w:lineRule="auto"/>
        <w:ind w:left="2754" w:right="677" w:hanging="364"/>
        <w:rPr>
          <w:sz w:val="24"/>
        </w:rPr>
      </w:pPr>
      <w:r>
        <w:rPr>
          <w:sz w:val="24"/>
        </w:rPr>
        <w:t>After completion of the 3 shot series, a positive hepatitis B surface antibody</w:t>
      </w:r>
      <w:r>
        <w:rPr>
          <w:spacing w:val="-29"/>
          <w:sz w:val="24"/>
        </w:rPr>
        <w:t xml:space="preserve"> </w:t>
      </w:r>
      <w:r>
        <w:rPr>
          <w:sz w:val="24"/>
        </w:rPr>
        <w:t>test (titer) must be</w:t>
      </w:r>
      <w:r>
        <w:rPr>
          <w:spacing w:val="-1"/>
          <w:sz w:val="24"/>
        </w:rPr>
        <w:t xml:space="preserve"> </w:t>
      </w:r>
      <w:r>
        <w:rPr>
          <w:sz w:val="24"/>
        </w:rPr>
        <w:t>documented.</w:t>
      </w:r>
    </w:p>
    <w:p w:rsidR="002B3264" w:rsidRDefault="00701E87">
      <w:pPr>
        <w:pStyle w:val="ListParagraph"/>
        <w:numPr>
          <w:ilvl w:val="2"/>
          <w:numId w:val="1"/>
        </w:numPr>
        <w:tabs>
          <w:tab w:val="left" w:pos="2754"/>
          <w:tab w:val="left" w:pos="2755"/>
        </w:tabs>
        <w:spacing w:before="118" w:line="264" w:lineRule="auto"/>
        <w:ind w:left="2754" w:right="632" w:hanging="364"/>
        <w:rPr>
          <w:sz w:val="24"/>
        </w:rPr>
      </w:pPr>
      <w:r>
        <w:rPr>
          <w:sz w:val="24"/>
        </w:rPr>
        <w:t>If the titer is negative, the series must be repeated and an additional titer must be completed.</w:t>
      </w:r>
    </w:p>
    <w:p w:rsidR="002B3264" w:rsidRDefault="00701E87">
      <w:pPr>
        <w:pStyle w:val="ListParagraph"/>
        <w:numPr>
          <w:ilvl w:val="2"/>
          <w:numId w:val="1"/>
        </w:numPr>
        <w:tabs>
          <w:tab w:val="left" w:pos="2754"/>
          <w:tab w:val="left" w:pos="2755"/>
        </w:tabs>
        <w:spacing w:before="118" w:line="264" w:lineRule="auto"/>
        <w:ind w:left="2754" w:right="595" w:hanging="364"/>
        <w:rPr>
          <w:sz w:val="24"/>
        </w:rPr>
      </w:pPr>
      <w:r>
        <w:rPr>
          <w:sz w:val="24"/>
        </w:rPr>
        <w:t>A booster dose of hepatitis B vaccine can be administered after a negative titer</w:t>
      </w:r>
      <w:r>
        <w:rPr>
          <w:spacing w:val="-16"/>
          <w:sz w:val="24"/>
        </w:rPr>
        <w:t xml:space="preserve"> </w:t>
      </w:r>
      <w:r>
        <w:rPr>
          <w:sz w:val="24"/>
        </w:rPr>
        <w:t>is discovered. This can be given immediately after the</w:t>
      </w:r>
      <w:r>
        <w:rPr>
          <w:spacing w:val="-7"/>
          <w:sz w:val="24"/>
        </w:rPr>
        <w:t xml:space="preserve"> </w:t>
      </w:r>
      <w:r>
        <w:rPr>
          <w:sz w:val="24"/>
        </w:rPr>
        <w:t>titer.</w:t>
      </w:r>
    </w:p>
    <w:p w:rsidR="002B3264" w:rsidRDefault="006E36B4">
      <w:pPr>
        <w:pStyle w:val="BodyText"/>
        <w:spacing w:before="8"/>
        <w:rPr>
          <w:sz w:val="12"/>
        </w:rPr>
      </w:pPr>
      <w:r>
        <w:pict>
          <v:shape id="_x0000_s1030" type="#_x0000_t202" style="position:absolute;margin-left:40.2pt;margin-top:10.3pt;width:538.25pt;height:24.35pt;z-index:-251659264;mso-wrap-distance-left:0;mso-wrap-distance-right:0;mso-position-horizontal-relative:page" fillcolor="gray" strokeweight="2pt">
            <v:textbox inset="0,0,0,0">
              <w:txbxContent>
                <w:p w:rsidR="002B3264" w:rsidRDefault="00701E87">
                  <w:pPr>
                    <w:spacing w:before="63"/>
                    <w:ind w:left="57"/>
                    <w:rPr>
                      <w:rFonts w:ascii="Calibri"/>
                      <w:b/>
                      <w:sz w:val="24"/>
                    </w:rPr>
                  </w:pPr>
                  <w:r>
                    <w:rPr>
                      <w:rFonts w:ascii="Calibri"/>
                      <w:b/>
                      <w:color w:val="FFFFFF"/>
                      <w:sz w:val="24"/>
                    </w:rPr>
                    <w:t>MMR</w:t>
                  </w:r>
                </w:p>
              </w:txbxContent>
            </v:textbox>
            <w10:wrap type="topAndBottom" anchorx="page"/>
          </v:shape>
        </w:pict>
      </w:r>
    </w:p>
    <w:p w:rsidR="002B3264" w:rsidRDefault="00701E87">
      <w:pPr>
        <w:pStyle w:val="ListParagraph"/>
        <w:numPr>
          <w:ilvl w:val="0"/>
          <w:numId w:val="1"/>
        </w:numPr>
        <w:tabs>
          <w:tab w:val="left" w:pos="582"/>
          <w:tab w:val="left" w:pos="583"/>
        </w:tabs>
        <w:spacing w:before="115"/>
        <w:ind w:left="582"/>
        <w:rPr>
          <w:sz w:val="24"/>
        </w:rPr>
      </w:pPr>
      <w:r>
        <w:rPr>
          <w:sz w:val="24"/>
        </w:rPr>
        <w:t>Two (2) shot series, with one (1) month between each</w:t>
      </w:r>
      <w:r>
        <w:rPr>
          <w:spacing w:val="-7"/>
          <w:sz w:val="24"/>
        </w:rPr>
        <w:t xml:space="preserve"> </w:t>
      </w:r>
      <w:r>
        <w:rPr>
          <w:sz w:val="24"/>
        </w:rPr>
        <w:t>injection.</w:t>
      </w:r>
    </w:p>
    <w:p w:rsidR="002B3264" w:rsidRDefault="00701E87">
      <w:pPr>
        <w:pStyle w:val="BodyText"/>
        <w:spacing w:before="147"/>
        <w:ind w:left="2008"/>
      </w:pPr>
      <w:proofErr w:type="gramStart"/>
      <w:r>
        <w:t>1.Vaccines</w:t>
      </w:r>
      <w:proofErr w:type="gramEnd"/>
      <w:r>
        <w:t xml:space="preserve"> must be completed after the first year of life.</w:t>
      </w:r>
    </w:p>
    <w:p w:rsidR="002B3264" w:rsidRDefault="00660A5E">
      <w:pPr>
        <w:pStyle w:val="ListParagraph"/>
        <w:numPr>
          <w:ilvl w:val="0"/>
          <w:numId w:val="1"/>
        </w:numPr>
        <w:tabs>
          <w:tab w:val="left" w:pos="582"/>
          <w:tab w:val="left" w:pos="583"/>
        </w:tabs>
        <w:ind w:left="582"/>
        <w:rPr>
          <w:sz w:val="24"/>
        </w:rPr>
      </w:pPr>
      <w:r>
        <w:rPr>
          <w:sz w:val="24"/>
        </w:rPr>
        <w:t>Surface Antibody tests for Rubel</w:t>
      </w:r>
      <w:r w:rsidR="00701E87">
        <w:rPr>
          <w:sz w:val="24"/>
        </w:rPr>
        <w:t>la (Measles), Mumps Rubella will be accepted in place of the</w:t>
      </w:r>
      <w:r w:rsidR="00701E87">
        <w:rPr>
          <w:spacing w:val="-20"/>
          <w:sz w:val="24"/>
        </w:rPr>
        <w:t xml:space="preserve"> </w:t>
      </w:r>
      <w:r w:rsidR="00701E87">
        <w:rPr>
          <w:sz w:val="24"/>
        </w:rPr>
        <w:t>vaccines.</w:t>
      </w:r>
    </w:p>
    <w:p w:rsidR="002B3264" w:rsidRDefault="006E36B4">
      <w:pPr>
        <w:pStyle w:val="BodyText"/>
        <w:spacing w:before="4"/>
        <w:rPr>
          <w:sz w:val="16"/>
        </w:rPr>
      </w:pPr>
      <w:r>
        <w:pict>
          <v:shape id="_x0000_s1029" type="#_x0000_t202" style="position:absolute;margin-left:38.05pt;margin-top:12.4pt;width:538.25pt;height:24.35pt;z-index:-251658240;mso-wrap-distance-left:0;mso-wrap-distance-right:0;mso-position-horizontal-relative:page" fillcolor="gray" strokeweight="2pt">
            <v:textbox inset="0,0,0,0">
              <w:txbxContent>
                <w:p w:rsidR="002B3264" w:rsidRDefault="00701E87">
                  <w:pPr>
                    <w:spacing w:before="63"/>
                    <w:ind w:left="56"/>
                    <w:rPr>
                      <w:rFonts w:ascii="Calibri"/>
                      <w:b/>
                      <w:sz w:val="24"/>
                    </w:rPr>
                  </w:pPr>
                  <w:r>
                    <w:rPr>
                      <w:rFonts w:ascii="Calibri"/>
                      <w:b/>
                      <w:color w:val="FFFFFF"/>
                      <w:sz w:val="24"/>
                    </w:rPr>
                    <w:t>Varicella</w:t>
                  </w:r>
                </w:p>
              </w:txbxContent>
            </v:textbox>
            <w10:wrap type="topAndBottom" anchorx="page"/>
          </v:shape>
        </w:pict>
      </w:r>
    </w:p>
    <w:p w:rsidR="002B3264" w:rsidRDefault="00701E87">
      <w:pPr>
        <w:pStyle w:val="ListParagraph"/>
        <w:numPr>
          <w:ilvl w:val="0"/>
          <w:numId w:val="1"/>
        </w:numPr>
        <w:tabs>
          <w:tab w:val="left" w:pos="558"/>
          <w:tab w:val="left" w:pos="559"/>
        </w:tabs>
        <w:spacing w:before="157" w:line="367" w:lineRule="auto"/>
        <w:ind w:right="8454" w:hanging="720"/>
        <w:rPr>
          <w:sz w:val="24"/>
        </w:rPr>
      </w:pPr>
      <w:r>
        <w:rPr>
          <w:sz w:val="24"/>
        </w:rPr>
        <w:t xml:space="preserve">Positive varicella </w:t>
      </w:r>
      <w:r>
        <w:rPr>
          <w:spacing w:val="-3"/>
          <w:sz w:val="24"/>
        </w:rPr>
        <w:t xml:space="preserve">titer </w:t>
      </w:r>
      <w:r>
        <w:rPr>
          <w:sz w:val="24"/>
        </w:rPr>
        <w:t>OR</w:t>
      </w:r>
    </w:p>
    <w:p w:rsidR="002B3264" w:rsidRDefault="00701E87">
      <w:pPr>
        <w:pStyle w:val="ListParagraph"/>
        <w:numPr>
          <w:ilvl w:val="0"/>
          <w:numId w:val="1"/>
        </w:numPr>
        <w:tabs>
          <w:tab w:val="left" w:pos="558"/>
          <w:tab w:val="left" w:pos="559"/>
        </w:tabs>
        <w:spacing w:before="0"/>
        <w:ind w:left="558"/>
        <w:rPr>
          <w:sz w:val="24"/>
        </w:rPr>
      </w:pPr>
      <w:r>
        <w:rPr>
          <w:sz w:val="24"/>
        </w:rPr>
        <w:t>Two (2) shot series of varicella vaccine, with one (1) month between each</w:t>
      </w:r>
      <w:r>
        <w:rPr>
          <w:spacing w:val="-8"/>
          <w:sz w:val="24"/>
        </w:rPr>
        <w:t xml:space="preserve"> </w:t>
      </w:r>
      <w:r>
        <w:rPr>
          <w:sz w:val="24"/>
        </w:rPr>
        <w:t>injection.</w:t>
      </w:r>
    </w:p>
    <w:p w:rsidR="002B3264" w:rsidRDefault="002B3264">
      <w:pPr>
        <w:rPr>
          <w:sz w:val="24"/>
        </w:rPr>
        <w:sectPr w:rsidR="002B3264">
          <w:headerReference w:type="default" r:id="rId10"/>
          <w:type w:val="continuous"/>
          <w:pgSz w:w="12240" w:h="15840"/>
          <w:pgMar w:top="1760" w:right="500" w:bottom="280" w:left="620" w:header="1503" w:footer="720" w:gutter="0"/>
          <w:cols w:space="720"/>
        </w:sectPr>
      </w:pPr>
    </w:p>
    <w:p w:rsidR="002B3264" w:rsidRDefault="00701E87">
      <w:pPr>
        <w:pStyle w:val="BodyText"/>
        <w:rPr>
          <w:sz w:val="20"/>
        </w:rPr>
      </w:pPr>
      <w:r>
        <w:rPr>
          <w:noProof/>
          <w:lang w:bidi="ar-SA"/>
        </w:rPr>
        <w:lastRenderedPageBreak/>
        <w:drawing>
          <wp:anchor distT="0" distB="0" distL="0" distR="0" simplePos="0" relativeHeight="251655168" behindDoc="0" locked="0" layoutInCell="1" allowOverlap="1">
            <wp:simplePos x="0" y="0"/>
            <wp:positionH relativeFrom="page">
              <wp:posOffset>457200</wp:posOffset>
            </wp:positionH>
            <wp:positionV relativeFrom="page">
              <wp:posOffset>457174</wp:posOffset>
            </wp:positionV>
            <wp:extent cx="3368166" cy="4953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368166" cy="495325"/>
                    </a:xfrm>
                    <a:prstGeom prst="rect">
                      <a:avLst/>
                    </a:prstGeom>
                  </pic:spPr>
                </pic:pic>
              </a:graphicData>
            </a:graphic>
          </wp:anchor>
        </w:drawing>
      </w:r>
    </w:p>
    <w:p w:rsidR="002B3264" w:rsidRDefault="002B3264">
      <w:pPr>
        <w:pStyle w:val="BodyText"/>
        <w:spacing w:before="5" w:after="1"/>
        <w:rPr>
          <w:sz w:val="14"/>
        </w:rPr>
      </w:pPr>
    </w:p>
    <w:p w:rsidR="002B3264" w:rsidRDefault="006E36B4">
      <w:pPr>
        <w:pStyle w:val="BodyText"/>
        <w:ind w:left="115"/>
        <w:rPr>
          <w:sz w:val="20"/>
        </w:rPr>
      </w:pPr>
      <w:r>
        <w:rPr>
          <w:position w:val="-1"/>
          <w:sz w:val="20"/>
        </w:rPr>
      </w:r>
      <w:r>
        <w:rPr>
          <w:position w:val="-1"/>
          <w:sz w:val="20"/>
        </w:rPr>
        <w:pict>
          <v:shape id="_x0000_s1032" type="#_x0000_t202" style="width:538.25pt;height:24.35pt;mso-left-percent:-10001;mso-top-percent:-10001;mso-position-horizontal:absolute;mso-position-horizontal-relative:char;mso-position-vertical:absolute;mso-position-vertical-relative:line;mso-left-percent:-10001;mso-top-percent:-10001" fillcolor="gray" strokeweight="2pt">
            <v:textbox inset="0,0,0,0">
              <w:txbxContent>
                <w:p w:rsidR="002B3264" w:rsidRDefault="00701E87">
                  <w:pPr>
                    <w:spacing w:before="60"/>
                    <w:ind w:left="57"/>
                    <w:rPr>
                      <w:rFonts w:ascii="Calibri"/>
                      <w:b/>
                      <w:sz w:val="24"/>
                    </w:rPr>
                  </w:pPr>
                  <w:r>
                    <w:rPr>
                      <w:rFonts w:ascii="Calibri"/>
                      <w:b/>
                      <w:color w:val="FFFFFF"/>
                      <w:sz w:val="24"/>
                    </w:rPr>
                    <w:t>Tetanus</w:t>
                  </w:r>
                </w:p>
              </w:txbxContent>
            </v:textbox>
            <w10:wrap type="none"/>
            <w10:anchorlock/>
          </v:shape>
        </w:pict>
      </w:r>
    </w:p>
    <w:p w:rsidR="002B3264" w:rsidRDefault="00701E87">
      <w:pPr>
        <w:pStyle w:val="ListParagraph"/>
        <w:numPr>
          <w:ilvl w:val="0"/>
          <w:numId w:val="1"/>
        </w:numPr>
        <w:tabs>
          <w:tab w:val="left" w:pos="551"/>
          <w:tab w:val="left" w:pos="552"/>
        </w:tabs>
        <w:spacing w:before="80"/>
        <w:ind w:left="551"/>
        <w:rPr>
          <w:sz w:val="24"/>
        </w:rPr>
      </w:pPr>
      <w:r>
        <w:rPr>
          <w:sz w:val="24"/>
        </w:rPr>
        <w:t xml:space="preserve">One (1) </w:t>
      </w:r>
      <w:proofErr w:type="spellStart"/>
      <w:r>
        <w:rPr>
          <w:sz w:val="24"/>
        </w:rPr>
        <w:t>Tdap</w:t>
      </w:r>
      <w:proofErr w:type="spellEnd"/>
      <w:r>
        <w:rPr>
          <w:sz w:val="24"/>
        </w:rPr>
        <w:t xml:space="preserve"> vaccine is required within the last 10</w:t>
      </w:r>
      <w:r>
        <w:rPr>
          <w:spacing w:val="-2"/>
          <w:sz w:val="24"/>
        </w:rPr>
        <w:t xml:space="preserve"> </w:t>
      </w:r>
      <w:r>
        <w:rPr>
          <w:sz w:val="24"/>
        </w:rPr>
        <w:t>years.</w:t>
      </w:r>
    </w:p>
    <w:p w:rsidR="002B3264" w:rsidRDefault="006E36B4">
      <w:pPr>
        <w:pStyle w:val="BodyText"/>
        <w:spacing w:before="2"/>
        <w:rPr>
          <w:sz w:val="19"/>
        </w:rPr>
      </w:pPr>
      <w:r>
        <w:pict>
          <v:shape id="_x0000_s1027" type="#_x0000_t202" style="position:absolute;margin-left:37.8pt;margin-top:14pt;width:538.25pt;height:24.35pt;z-index:-251657216;mso-wrap-distance-left:0;mso-wrap-distance-right:0;mso-position-horizontal-relative:page" fillcolor="gray" strokeweight="2pt">
            <v:textbox inset="0,0,0,0">
              <w:txbxContent>
                <w:p w:rsidR="002B3264" w:rsidRDefault="00701E87">
                  <w:pPr>
                    <w:spacing w:before="60"/>
                    <w:ind w:left="57"/>
                    <w:rPr>
                      <w:rFonts w:ascii="Calibri"/>
                      <w:b/>
                      <w:sz w:val="24"/>
                    </w:rPr>
                  </w:pPr>
                  <w:r>
                    <w:rPr>
                      <w:rFonts w:ascii="Calibri"/>
                      <w:b/>
                      <w:color w:val="FFFFFF"/>
                      <w:sz w:val="24"/>
                    </w:rPr>
                    <w:t>Two-Step PPD</w:t>
                  </w:r>
                </w:p>
              </w:txbxContent>
            </v:textbox>
            <w10:wrap type="topAndBottom" anchorx="page"/>
          </v:shape>
        </w:pict>
      </w:r>
    </w:p>
    <w:p w:rsidR="002B3264" w:rsidRDefault="002B3264">
      <w:pPr>
        <w:pStyle w:val="BodyText"/>
        <w:spacing w:before="2"/>
        <w:rPr>
          <w:sz w:val="12"/>
        </w:rPr>
      </w:pPr>
    </w:p>
    <w:p w:rsidR="002B3264" w:rsidRDefault="00701E87">
      <w:pPr>
        <w:pStyle w:val="ListParagraph"/>
        <w:numPr>
          <w:ilvl w:val="0"/>
          <w:numId w:val="1"/>
        </w:numPr>
        <w:tabs>
          <w:tab w:val="left" w:pos="576"/>
          <w:tab w:val="left" w:pos="577"/>
        </w:tabs>
        <w:spacing w:before="90"/>
        <w:ind w:left="576" w:hanging="373"/>
        <w:rPr>
          <w:sz w:val="24"/>
        </w:rPr>
      </w:pPr>
      <w:r>
        <w:rPr>
          <w:sz w:val="24"/>
        </w:rPr>
        <w:t>An initial two-step PPD test is</w:t>
      </w:r>
      <w:r>
        <w:rPr>
          <w:spacing w:val="-6"/>
          <w:sz w:val="24"/>
        </w:rPr>
        <w:t xml:space="preserve"> </w:t>
      </w:r>
      <w:r>
        <w:rPr>
          <w:sz w:val="24"/>
        </w:rPr>
        <w:t>required.</w:t>
      </w:r>
    </w:p>
    <w:p w:rsidR="002B3264" w:rsidRDefault="00701E87">
      <w:pPr>
        <w:pStyle w:val="BodyText"/>
        <w:spacing w:before="222" w:line="256" w:lineRule="auto"/>
        <w:ind w:left="558" w:right="227"/>
        <w:rPr>
          <w:rFonts w:ascii="Garamond"/>
        </w:rPr>
      </w:pPr>
      <w:r>
        <w:rPr>
          <w:rFonts w:ascii="Garamond"/>
          <w:w w:val="105"/>
        </w:rPr>
        <w:t>2-step</w:t>
      </w:r>
      <w:r>
        <w:rPr>
          <w:rFonts w:ascii="Garamond"/>
          <w:spacing w:val="-13"/>
          <w:w w:val="105"/>
        </w:rPr>
        <w:t xml:space="preserve"> </w:t>
      </w:r>
      <w:r>
        <w:rPr>
          <w:rFonts w:ascii="Garamond"/>
          <w:w w:val="105"/>
        </w:rPr>
        <w:t>skin</w:t>
      </w:r>
      <w:r>
        <w:rPr>
          <w:rFonts w:ascii="Garamond"/>
          <w:spacing w:val="-12"/>
          <w:w w:val="105"/>
        </w:rPr>
        <w:t xml:space="preserve"> </w:t>
      </w:r>
      <w:r>
        <w:rPr>
          <w:rFonts w:ascii="Garamond"/>
          <w:w w:val="105"/>
        </w:rPr>
        <w:t>test</w:t>
      </w:r>
      <w:r>
        <w:rPr>
          <w:rFonts w:ascii="Garamond"/>
          <w:spacing w:val="-12"/>
          <w:w w:val="105"/>
        </w:rPr>
        <w:t xml:space="preserve"> </w:t>
      </w:r>
      <w:r>
        <w:rPr>
          <w:rFonts w:ascii="Garamond"/>
          <w:w w:val="105"/>
        </w:rPr>
        <w:t>-</w:t>
      </w:r>
      <w:r>
        <w:rPr>
          <w:rFonts w:ascii="Garamond"/>
          <w:spacing w:val="-13"/>
          <w:w w:val="105"/>
        </w:rPr>
        <w:t xml:space="preserve"> </w:t>
      </w:r>
      <w:r>
        <w:rPr>
          <w:rFonts w:ascii="Garamond"/>
          <w:w w:val="105"/>
        </w:rPr>
        <w:t>A</w:t>
      </w:r>
      <w:r>
        <w:rPr>
          <w:rFonts w:ascii="Garamond"/>
          <w:spacing w:val="-12"/>
          <w:w w:val="105"/>
        </w:rPr>
        <w:t xml:space="preserve"> </w:t>
      </w:r>
      <w:r>
        <w:rPr>
          <w:rFonts w:ascii="Garamond"/>
          <w:w w:val="105"/>
        </w:rPr>
        <w:t>2-step</w:t>
      </w:r>
      <w:r>
        <w:rPr>
          <w:rFonts w:ascii="Garamond"/>
          <w:spacing w:val="-12"/>
          <w:w w:val="105"/>
        </w:rPr>
        <w:t xml:space="preserve"> </w:t>
      </w:r>
      <w:r>
        <w:rPr>
          <w:rFonts w:ascii="Garamond"/>
          <w:w w:val="105"/>
        </w:rPr>
        <w:t>PPD</w:t>
      </w:r>
      <w:r>
        <w:rPr>
          <w:rFonts w:ascii="Garamond"/>
          <w:spacing w:val="-12"/>
          <w:w w:val="105"/>
        </w:rPr>
        <w:t xml:space="preserve"> </w:t>
      </w:r>
      <w:r>
        <w:rPr>
          <w:rFonts w:ascii="Garamond"/>
          <w:w w:val="105"/>
        </w:rPr>
        <w:t>involves</w:t>
      </w:r>
      <w:r>
        <w:rPr>
          <w:rFonts w:ascii="Garamond"/>
          <w:spacing w:val="-13"/>
          <w:w w:val="105"/>
        </w:rPr>
        <w:t xml:space="preserve"> </w:t>
      </w:r>
      <w:r>
        <w:rPr>
          <w:rFonts w:ascii="Garamond"/>
          <w:w w:val="105"/>
        </w:rPr>
        <w:t>getting</w:t>
      </w:r>
      <w:r>
        <w:rPr>
          <w:rFonts w:ascii="Garamond"/>
          <w:spacing w:val="-12"/>
          <w:w w:val="105"/>
        </w:rPr>
        <w:t xml:space="preserve"> </w:t>
      </w:r>
      <w:r>
        <w:rPr>
          <w:rFonts w:ascii="Garamond"/>
          <w:w w:val="105"/>
        </w:rPr>
        <w:t>two</w:t>
      </w:r>
      <w:r>
        <w:rPr>
          <w:rFonts w:ascii="Garamond"/>
          <w:spacing w:val="-12"/>
          <w:w w:val="105"/>
        </w:rPr>
        <w:t xml:space="preserve"> </w:t>
      </w:r>
      <w:r>
        <w:rPr>
          <w:rFonts w:ascii="Garamond"/>
          <w:w w:val="105"/>
        </w:rPr>
        <w:t>1-step</w:t>
      </w:r>
      <w:r>
        <w:rPr>
          <w:rFonts w:ascii="Garamond"/>
          <w:spacing w:val="-12"/>
          <w:w w:val="105"/>
        </w:rPr>
        <w:t xml:space="preserve"> </w:t>
      </w:r>
      <w:r>
        <w:rPr>
          <w:rFonts w:ascii="Garamond"/>
          <w:w w:val="105"/>
        </w:rPr>
        <w:t>skin</w:t>
      </w:r>
      <w:r>
        <w:rPr>
          <w:rFonts w:ascii="Garamond"/>
          <w:spacing w:val="-13"/>
          <w:w w:val="105"/>
        </w:rPr>
        <w:t xml:space="preserve"> </w:t>
      </w:r>
      <w:r>
        <w:rPr>
          <w:rFonts w:ascii="Garamond"/>
          <w:w w:val="105"/>
        </w:rPr>
        <w:t>tests</w:t>
      </w:r>
      <w:r>
        <w:rPr>
          <w:rFonts w:ascii="Garamond"/>
          <w:spacing w:val="-12"/>
          <w:w w:val="105"/>
        </w:rPr>
        <w:t xml:space="preserve"> </w:t>
      </w:r>
      <w:r>
        <w:rPr>
          <w:rFonts w:ascii="Garamond"/>
          <w:w w:val="105"/>
        </w:rPr>
        <w:t>done</w:t>
      </w:r>
      <w:r>
        <w:rPr>
          <w:rFonts w:ascii="Garamond"/>
          <w:spacing w:val="-12"/>
          <w:w w:val="105"/>
        </w:rPr>
        <w:t xml:space="preserve"> </w:t>
      </w:r>
      <w:r>
        <w:rPr>
          <w:rFonts w:ascii="Garamond"/>
          <w:w w:val="105"/>
        </w:rPr>
        <w:t>in</w:t>
      </w:r>
      <w:r>
        <w:rPr>
          <w:rFonts w:ascii="Garamond"/>
          <w:spacing w:val="-12"/>
          <w:w w:val="105"/>
        </w:rPr>
        <w:t xml:space="preserve"> </w:t>
      </w:r>
      <w:r>
        <w:rPr>
          <w:rFonts w:ascii="Garamond"/>
          <w:w w:val="105"/>
        </w:rPr>
        <w:t>rapid</w:t>
      </w:r>
      <w:r>
        <w:rPr>
          <w:rFonts w:ascii="Garamond"/>
          <w:spacing w:val="-13"/>
          <w:w w:val="105"/>
        </w:rPr>
        <w:t xml:space="preserve"> </w:t>
      </w:r>
      <w:r>
        <w:rPr>
          <w:rFonts w:ascii="Garamond"/>
          <w:w w:val="105"/>
        </w:rPr>
        <w:t>succession,</w:t>
      </w:r>
      <w:r>
        <w:rPr>
          <w:rFonts w:ascii="Garamond"/>
          <w:spacing w:val="-12"/>
          <w:w w:val="105"/>
        </w:rPr>
        <w:t xml:space="preserve"> </w:t>
      </w:r>
      <w:r>
        <w:rPr>
          <w:rFonts w:ascii="Garamond"/>
          <w:w w:val="105"/>
        </w:rPr>
        <w:t>usually</w:t>
      </w:r>
      <w:r>
        <w:rPr>
          <w:rFonts w:ascii="Garamond"/>
          <w:spacing w:val="-12"/>
          <w:w w:val="105"/>
        </w:rPr>
        <w:t xml:space="preserve"> </w:t>
      </w:r>
      <w:r>
        <w:rPr>
          <w:rFonts w:ascii="Garamond"/>
          <w:w w:val="105"/>
        </w:rPr>
        <w:t>about a</w:t>
      </w:r>
      <w:r>
        <w:rPr>
          <w:rFonts w:ascii="Garamond"/>
          <w:spacing w:val="-16"/>
          <w:w w:val="105"/>
        </w:rPr>
        <w:t xml:space="preserve"> </w:t>
      </w:r>
      <w:r>
        <w:rPr>
          <w:rFonts w:ascii="Garamond"/>
          <w:w w:val="105"/>
        </w:rPr>
        <w:t>week</w:t>
      </w:r>
      <w:r>
        <w:rPr>
          <w:rFonts w:ascii="Garamond"/>
          <w:spacing w:val="-16"/>
          <w:w w:val="105"/>
        </w:rPr>
        <w:t xml:space="preserve"> </w:t>
      </w:r>
      <w:r>
        <w:rPr>
          <w:rFonts w:ascii="Garamond"/>
          <w:w w:val="105"/>
        </w:rPr>
        <w:t>apart.</w:t>
      </w:r>
      <w:r>
        <w:rPr>
          <w:rFonts w:ascii="Garamond"/>
          <w:spacing w:val="32"/>
          <w:w w:val="105"/>
        </w:rPr>
        <w:t xml:space="preserve"> </w:t>
      </w:r>
      <w:r>
        <w:rPr>
          <w:rFonts w:ascii="Garamond"/>
          <w:w w:val="105"/>
        </w:rPr>
        <w:t>The</w:t>
      </w:r>
      <w:r>
        <w:rPr>
          <w:rFonts w:ascii="Garamond"/>
          <w:spacing w:val="-16"/>
          <w:w w:val="105"/>
        </w:rPr>
        <w:t xml:space="preserve"> </w:t>
      </w:r>
      <w:r>
        <w:rPr>
          <w:rFonts w:ascii="Garamond"/>
          <w:w w:val="105"/>
        </w:rPr>
        <w:t>second</w:t>
      </w:r>
      <w:r>
        <w:rPr>
          <w:rFonts w:ascii="Garamond"/>
          <w:spacing w:val="-15"/>
          <w:w w:val="105"/>
        </w:rPr>
        <w:t xml:space="preserve"> </w:t>
      </w:r>
      <w:r>
        <w:rPr>
          <w:rFonts w:ascii="Garamond"/>
          <w:w w:val="105"/>
        </w:rPr>
        <w:t>test</w:t>
      </w:r>
      <w:r>
        <w:rPr>
          <w:rFonts w:ascii="Garamond"/>
          <w:spacing w:val="-16"/>
          <w:w w:val="105"/>
        </w:rPr>
        <w:t xml:space="preserve"> </w:t>
      </w:r>
      <w:r>
        <w:rPr>
          <w:rFonts w:ascii="Garamond"/>
          <w:w w:val="105"/>
        </w:rPr>
        <w:t>will</w:t>
      </w:r>
      <w:r>
        <w:rPr>
          <w:rFonts w:ascii="Garamond"/>
          <w:spacing w:val="-16"/>
          <w:w w:val="105"/>
        </w:rPr>
        <w:t xml:space="preserve"> </w:t>
      </w:r>
      <w:r>
        <w:rPr>
          <w:rFonts w:ascii="Garamond"/>
          <w:w w:val="105"/>
        </w:rPr>
        <w:t>give</w:t>
      </w:r>
      <w:r>
        <w:rPr>
          <w:rFonts w:ascii="Garamond"/>
          <w:spacing w:val="-15"/>
          <w:w w:val="105"/>
        </w:rPr>
        <w:t xml:space="preserve"> </w:t>
      </w:r>
      <w:r>
        <w:rPr>
          <w:rFonts w:ascii="Garamond"/>
          <w:w w:val="105"/>
        </w:rPr>
        <w:t>a</w:t>
      </w:r>
      <w:r>
        <w:rPr>
          <w:rFonts w:ascii="Garamond"/>
          <w:spacing w:val="-16"/>
          <w:w w:val="105"/>
        </w:rPr>
        <w:t xml:space="preserve"> </w:t>
      </w:r>
      <w:r>
        <w:rPr>
          <w:rFonts w:ascii="Garamond"/>
          <w:w w:val="105"/>
        </w:rPr>
        <w:t>more</w:t>
      </w:r>
      <w:r>
        <w:rPr>
          <w:rFonts w:ascii="Garamond"/>
          <w:spacing w:val="-16"/>
          <w:w w:val="105"/>
        </w:rPr>
        <w:t xml:space="preserve"> </w:t>
      </w:r>
      <w:r>
        <w:rPr>
          <w:rFonts w:ascii="Garamond"/>
          <w:w w:val="105"/>
        </w:rPr>
        <w:t>accurate</w:t>
      </w:r>
      <w:r>
        <w:rPr>
          <w:rFonts w:ascii="Garamond"/>
          <w:spacing w:val="-15"/>
          <w:w w:val="105"/>
        </w:rPr>
        <w:t xml:space="preserve"> </w:t>
      </w:r>
      <w:r>
        <w:rPr>
          <w:rFonts w:ascii="Garamond"/>
          <w:w w:val="105"/>
        </w:rPr>
        <w:t>result,</w:t>
      </w:r>
      <w:r>
        <w:rPr>
          <w:rFonts w:ascii="Garamond"/>
          <w:spacing w:val="-16"/>
          <w:w w:val="105"/>
        </w:rPr>
        <w:t xml:space="preserve"> </w:t>
      </w:r>
      <w:r>
        <w:rPr>
          <w:rFonts w:ascii="Garamond"/>
          <w:w w:val="105"/>
        </w:rPr>
        <w:t>based</w:t>
      </w:r>
      <w:r>
        <w:rPr>
          <w:rFonts w:ascii="Garamond"/>
          <w:spacing w:val="-16"/>
          <w:w w:val="105"/>
        </w:rPr>
        <w:t xml:space="preserve"> </w:t>
      </w:r>
      <w:r>
        <w:rPr>
          <w:rFonts w:ascii="Garamond"/>
          <w:w w:val="105"/>
        </w:rPr>
        <w:t>on</w:t>
      </w:r>
      <w:r>
        <w:rPr>
          <w:rFonts w:ascii="Garamond"/>
          <w:spacing w:val="-15"/>
          <w:w w:val="105"/>
        </w:rPr>
        <w:t xml:space="preserve"> </w:t>
      </w:r>
      <w:r>
        <w:rPr>
          <w:rFonts w:ascii="Garamond"/>
          <w:w w:val="105"/>
        </w:rPr>
        <w:t>a</w:t>
      </w:r>
      <w:r>
        <w:rPr>
          <w:rFonts w:ascii="Garamond"/>
          <w:spacing w:val="-16"/>
          <w:w w:val="105"/>
        </w:rPr>
        <w:t xml:space="preserve"> </w:t>
      </w:r>
      <w:r>
        <w:rPr>
          <w:rFonts w:ascii="Garamond"/>
          <w:w w:val="105"/>
        </w:rPr>
        <w:t>"boosting"</w:t>
      </w:r>
      <w:r>
        <w:rPr>
          <w:rFonts w:ascii="Garamond"/>
          <w:spacing w:val="-16"/>
          <w:w w:val="105"/>
        </w:rPr>
        <w:t xml:space="preserve"> </w:t>
      </w:r>
      <w:r>
        <w:rPr>
          <w:rFonts w:ascii="Garamond"/>
          <w:w w:val="105"/>
        </w:rPr>
        <w:t>of</w:t>
      </w:r>
      <w:r>
        <w:rPr>
          <w:rFonts w:ascii="Garamond"/>
          <w:spacing w:val="-15"/>
          <w:w w:val="105"/>
        </w:rPr>
        <w:t xml:space="preserve"> </w:t>
      </w:r>
      <w:r>
        <w:rPr>
          <w:rFonts w:ascii="Garamond"/>
          <w:w w:val="105"/>
        </w:rPr>
        <w:t>the</w:t>
      </w:r>
      <w:r>
        <w:rPr>
          <w:rFonts w:ascii="Garamond"/>
          <w:spacing w:val="-16"/>
          <w:w w:val="105"/>
        </w:rPr>
        <w:t xml:space="preserve"> </w:t>
      </w:r>
      <w:r>
        <w:rPr>
          <w:rFonts w:ascii="Garamond"/>
          <w:w w:val="105"/>
        </w:rPr>
        <w:t>body's</w:t>
      </w:r>
      <w:r>
        <w:rPr>
          <w:rFonts w:ascii="Garamond"/>
          <w:spacing w:val="-16"/>
          <w:w w:val="105"/>
        </w:rPr>
        <w:t xml:space="preserve"> </w:t>
      </w:r>
      <w:r>
        <w:rPr>
          <w:rFonts w:ascii="Garamond"/>
          <w:w w:val="105"/>
        </w:rPr>
        <w:t>response.</w:t>
      </w:r>
    </w:p>
    <w:p w:rsidR="002B3264" w:rsidRDefault="002B3264">
      <w:pPr>
        <w:pStyle w:val="BodyText"/>
        <w:rPr>
          <w:rFonts w:ascii="Garamond"/>
          <w:sz w:val="20"/>
        </w:rPr>
      </w:pPr>
    </w:p>
    <w:p w:rsidR="002B3264" w:rsidRDefault="002B3264">
      <w:pPr>
        <w:pStyle w:val="BodyText"/>
        <w:rPr>
          <w:rFonts w:ascii="Garamond"/>
          <w:sz w:val="20"/>
        </w:rPr>
      </w:pPr>
    </w:p>
    <w:p w:rsidR="002B3264" w:rsidRDefault="00701E87">
      <w:pPr>
        <w:pStyle w:val="ListParagraph"/>
        <w:numPr>
          <w:ilvl w:val="0"/>
          <w:numId w:val="1"/>
        </w:numPr>
        <w:tabs>
          <w:tab w:val="left" w:pos="550"/>
          <w:tab w:val="left" w:pos="551"/>
        </w:tabs>
        <w:spacing w:before="219"/>
        <w:ind w:left="550" w:hanging="347"/>
        <w:rPr>
          <w:sz w:val="24"/>
        </w:rPr>
      </w:pPr>
      <w:r>
        <w:rPr>
          <w:sz w:val="24"/>
        </w:rPr>
        <w:t xml:space="preserve">Submit a </w:t>
      </w:r>
      <w:r>
        <w:rPr>
          <w:b/>
          <w:spacing w:val="-3"/>
          <w:sz w:val="24"/>
        </w:rPr>
        <w:t xml:space="preserve">one-step </w:t>
      </w:r>
      <w:r>
        <w:rPr>
          <w:b/>
          <w:sz w:val="24"/>
        </w:rPr>
        <w:t>PPD test, annually</w:t>
      </w:r>
      <w:r>
        <w:rPr>
          <w:sz w:val="24"/>
        </w:rPr>
        <w:t>.</w:t>
      </w:r>
    </w:p>
    <w:p w:rsidR="002B3264" w:rsidRDefault="002B3264">
      <w:pPr>
        <w:pStyle w:val="BodyText"/>
        <w:spacing w:before="2"/>
        <w:rPr>
          <w:sz w:val="28"/>
        </w:rPr>
      </w:pPr>
    </w:p>
    <w:p w:rsidR="002B3264" w:rsidRDefault="00701E87">
      <w:pPr>
        <w:pStyle w:val="BodyText"/>
        <w:spacing w:line="256" w:lineRule="auto"/>
        <w:ind w:left="564" w:right="297"/>
        <w:rPr>
          <w:rFonts w:ascii="Garamond"/>
        </w:rPr>
      </w:pPr>
      <w:r>
        <w:rPr>
          <w:rFonts w:ascii="Garamond"/>
          <w:w w:val="105"/>
        </w:rPr>
        <w:t>1-step skin test - also known as a PPD. This is a two stage process. In the first stage 0.1 mL of purified protein derivative (PPD) is injected into the top layers of skin of the forearm (PPD Give). In the second stage, 48-72 hours after the PPD Give, a certified health care professional will evaluate the area by noting the</w:t>
      </w:r>
      <w:r>
        <w:rPr>
          <w:rFonts w:ascii="Garamond"/>
          <w:spacing w:val="-13"/>
          <w:w w:val="105"/>
        </w:rPr>
        <w:t xml:space="preserve"> </w:t>
      </w:r>
      <w:r>
        <w:rPr>
          <w:rFonts w:ascii="Garamond"/>
          <w:w w:val="105"/>
        </w:rPr>
        <w:t>amount</w:t>
      </w:r>
      <w:r>
        <w:rPr>
          <w:rFonts w:ascii="Garamond"/>
          <w:spacing w:val="-13"/>
          <w:w w:val="105"/>
        </w:rPr>
        <w:t xml:space="preserve"> </w:t>
      </w:r>
      <w:r>
        <w:rPr>
          <w:rFonts w:ascii="Garamond"/>
          <w:w w:val="105"/>
        </w:rPr>
        <w:t>of</w:t>
      </w:r>
      <w:r>
        <w:rPr>
          <w:rFonts w:ascii="Garamond"/>
          <w:spacing w:val="-13"/>
          <w:w w:val="105"/>
        </w:rPr>
        <w:t xml:space="preserve"> </w:t>
      </w:r>
      <w:r>
        <w:rPr>
          <w:rFonts w:ascii="Garamond"/>
          <w:w w:val="105"/>
        </w:rPr>
        <w:t>swelling</w:t>
      </w:r>
      <w:r>
        <w:rPr>
          <w:rFonts w:ascii="Garamond"/>
          <w:spacing w:val="-12"/>
          <w:w w:val="105"/>
        </w:rPr>
        <w:t xml:space="preserve"> </w:t>
      </w:r>
      <w:r>
        <w:rPr>
          <w:rFonts w:ascii="Garamond"/>
          <w:w w:val="105"/>
        </w:rPr>
        <w:t>(PPD</w:t>
      </w:r>
      <w:r>
        <w:rPr>
          <w:rFonts w:ascii="Garamond"/>
          <w:spacing w:val="-13"/>
          <w:w w:val="105"/>
        </w:rPr>
        <w:t xml:space="preserve"> </w:t>
      </w:r>
      <w:r>
        <w:rPr>
          <w:rFonts w:ascii="Garamond"/>
          <w:w w:val="105"/>
        </w:rPr>
        <w:t>Read).</w:t>
      </w:r>
      <w:r>
        <w:rPr>
          <w:rFonts w:ascii="Garamond"/>
          <w:spacing w:val="38"/>
          <w:w w:val="105"/>
        </w:rPr>
        <w:t xml:space="preserve"> </w:t>
      </w:r>
      <w:r>
        <w:rPr>
          <w:rFonts w:ascii="Garamond"/>
          <w:w w:val="105"/>
        </w:rPr>
        <w:t>It</w:t>
      </w:r>
      <w:r>
        <w:rPr>
          <w:rFonts w:ascii="Garamond"/>
          <w:spacing w:val="-13"/>
          <w:w w:val="105"/>
        </w:rPr>
        <w:t xml:space="preserve"> </w:t>
      </w:r>
      <w:r>
        <w:rPr>
          <w:rFonts w:ascii="Garamond"/>
          <w:w w:val="105"/>
        </w:rPr>
        <w:t>is</w:t>
      </w:r>
      <w:r>
        <w:rPr>
          <w:rFonts w:ascii="Garamond"/>
          <w:spacing w:val="-13"/>
          <w:w w:val="105"/>
        </w:rPr>
        <w:t xml:space="preserve"> </w:t>
      </w:r>
      <w:r>
        <w:rPr>
          <w:rFonts w:ascii="Garamond"/>
          <w:w w:val="105"/>
        </w:rPr>
        <w:t>very</w:t>
      </w:r>
      <w:r>
        <w:rPr>
          <w:rFonts w:ascii="Garamond"/>
          <w:spacing w:val="-13"/>
          <w:w w:val="105"/>
        </w:rPr>
        <w:t xml:space="preserve"> </w:t>
      </w:r>
      <w:r>
        <w:rPr>
          <w:rFonts w:ascii="Garamond"/>
          <w:w w:val="105"/>
        </w:rPr>
        <w:t>important</w:t>
      </w:r>
      <w:r>
        <w:rPr>
          <w:rFonts w:ascii="Garamond"/>
          <w:spacing w:val="-12"/>
          <w:w w:val="105"/>
        </w:rPr>
        <w:t xml:space="preserve"> </w:t>
      </w:r>
      <w:r>
        <w:rPr>
          <w:rFonts w:ascii="Garamond"/>
          <w:w w:val="105"/>
        </w:rPr>
        <w:t>that</w:t>
      </w:r>
      <w:r>
        <w:rPr>
          <w:rFonts w:ascii="Garamond"/>
          <w:spacing w:val="-13"/>
          <w:w w:val="105"/>
        </w:rPr>
        <w:t xml:space="preserve"> </w:t>
      </w:r>
      <w:r>
        <w:rPr>
          <w:rFonts w:ascii="Garamond"/>
          <w:w w:val="105"/>
        </w:rPr>
        <w:t>the</w:t>
      </w:r>
      <w:r>
        <w:rPr>
          <w:rFonts w:ascii="Garamond"/>
          <w:spacing w:val="-13"/>
          <w:w w:val="105"/>
        </w:rPr>
        <w:t xml:space="preserve"> </w:t>
      </w:r>
      <w:r>
        <w:rPr>
          <w:rFonts w:ascii="Garamond"/>
          <w:w w:val="105"/>
        </w:rPr>
        <w:t>PPD</w:t>
      </w:r>
      <w:r>
        <w:rPr>
          <w:rFonts w:ascii="Garamond"/>
          <w:spacing w:val="-12"/>
          <w:w w:val="105"/>
        </w:rPr>
        <w:t xml:space="preserve"> </w:t>
      </w:r>
      <w:r>
        <w:rPr>
          <w:rFonts w:ascii="Garamond"/>
          <w:w w:val="105"/>
        </w:rPr>
        <w:t>Read</w:t>
      </w:r>
      <w:r>
        <w:rPr>
          <w:rFonts w:ascii="Garamond"/>
          <w:spacing w:val="-13"/>
          <w:w w:val="105"/>
        </w:rPr>
        <w:t xml:space="preserve"> </w:t>
      </w:r>
      <w:r>
        <w:rPr>
          <w:rFonts w:ascii="Garamond"/>
          <w:w w:val="105"/>
        </w:rPr>
        <w:t>occur</w:t>
      </w:r>
      <w:r>
        <w:rPr>
          <w:rFonts w:ascii="Garamond"/>
          <w:spacing w:val="-13"/>
          <w:w w:val="105"/>
        </w:rPr>
        <w:t xml:space="preserve"> </w:t>
      </w:r>
      <w:r>
        <w:rPr>
          <w:rFonts w:ascii="Garamond"/>
          <w:w w:val="105"/>
        </w:rPr>
        <w:t>within</w:t>
      </w:r>
      <w:r>
        <w:rPr>
          <w:rFonts w:ascii="Garamond"/>
          <w:spacing w:val="-13"/>
          <w:w w:val="105"/>
        </w:rPr>
        <w:t xml:space="preserve"> </w:t>
      </w:r>
      <w:r>
        <w:rPr>
          <w:rFonts w:ascii="Garamond"/>
          <w:w w:val="105"/>
        </w:rPr>
        <w:t>the</w:t>
      </w:r>
      <w:r>
        <w:rPr>
          <w:rFonts w:ascii="Garamond"/>
          <w:spacing w:val="-12"/>
          <w:w w:val="105"/>
        </w:rPr>
        <w:t xml:space="preserve"> </w:t>
      </w:r>
      <w:r>
        <w:rPr>
          <w:rFonts w:ascii="Garamond"/>
          <w:w w:val="105"/>
        </w:rPr>
        <w:t>time</w:t>
      </w:r>
      <w:r>
        <w:rPr>
          <w:rFonts w:ascii="Garamond"/>
          <w:spacing w:val="-13"/>
          <w:w w:val="105"/>
        </w:rPr>
        <w:t xml:space="preserve"> </w:t>
      </w:r>
      <w:r>
        <w:rPr>
          <w:rFonts w:ascii="Garamond"/>
          <w:w w:val="105"/>
        </w:rPr>
        <w:t>frame</w:t>
      </w:r>
      <w:r>
        <w:rPr>
          <w:rFonts w:ascii="Garamond"/>
          <w:spacing w:val="-13"/>
          <w:w w:val="105"/>
        </w:rPr>
        <w:t xml:space="preserve"> </w:t>
      </w:r>
      <w:r>
        <w:rPr>
          <w:rFonts w:ascii="Garamond"/>
          <w:w w:val="105"/>
        </w:rPr>
        <w:t>of 48-72 hours after the PPD Give. PPDs that are read outside of this timeframe are considered invalid and will</w:t>
      </w:r>
      <w:r>
        <w:rPr>
          <w:rFonts w:ascii="Garamond"/>
          <w:spacing w:val="-10"/>
          <w:w w:val="105"/>
        </w:rPr>
        <w:t xml:space="preserve"> </w:t>
      </w:r>
      <w:r>
        <w:rPr>
          <w:rFonts w:ascii="Garamond"/>
          <w:w w:val="105"/>
        </w:rPr>
        <w:t>not</w:t>
      </w:r>
      <w:r>
        <w:rPr>
          <w:rFonts w:ascii="Garamond"/>
          <w:spacing w:val="-10"/>
          <w:w w:val="105"/>
        </w:rPr>
        <w:t xml:space="preserve"> </w:t>
      </w:r>
      <w:r>
        <w:rPr>
          <w:rFonts w:ascii="Garamond"/>
          <w:w w:val="105"/>
        </w:rPr>
        <w:t>meet</w:t>
      </w:r>
      <w:r>
        <w:rPr>
          <w:rFonts w:ascii="Garamond"/>
          <w:spacing w:val="-9"/>
          <w:w w:val="105"/>
        </w:rPr>
        <w:t xml:space="preserve"> </w:t>
      </w:r>
      <w:r>
        <w:rPr>
          <w:rFonts w:ascii="Garamond"/>
          <w:w w:val="105"/>
        </w:rPr>
        <w:t>the</w:t>
      </w:r>
      <w:r>
        <w:rPr>
          <w:rFonts w:ascii="Garamond"/>
          <w:spacing w:val="-10"/>
          <w:w w:val="105"/>
        </w:rPr>
        <w:t xml:space="preserve"> </w:t>
      </w:r>
      <w:r>
        <w:rPr>
          <w:rFonts w:ascii="Garamond"/>
          <w:w w:val="105"/>
        </w:rPr>
        <w:t>TB</w:t>
      </w:r>
      <w:r>
        <w:rPr>
          <w:rFonts w:ascii="Garamond"/>
          <w:spacing w:val="-9"/>
          <w:w w:val="105"/>
        </w:rPr>
        <w:t xml:space="preserve"> </w:t>
      </w:r>
      <w:r>
        <w:rPr>
          <w:rFonts w:ascii="Garamond"/>
          <w:w w:val="105"/>
        </w:rPr>
        <w:t>requirements</w:t>
      </w:r>
      <w:r>
        <w:rPr>
          <w:rFonts w:ascii="Garamond"/>
          <w:spacing w:val="-10"/>
          <w:w w:val="105"/>
        </w:rPr>
        <w:t xml:space="preserve"> </w:t>
      </w:r>
      <w:r>
        <w:rPr>
          <w:rFonts w:ascii="Garamond"/>
          <w:w w:val="105"/>
        </w:rPr>
        <w:t>of</w:t>
      </w:r>
      <w:r>
        <w:rPr>
          <w:rFonts w:ascii="Garamond"/>
          <w:spacing w:val="-10"/>
          <w:w w:val="105"/>
        </w:rPr>
        <w:t xml:space="preserve"> </w:t>
      </w:r>
      <w:r>
        <w:rPr>
          <w:rFonts w:ascii="Garamond"/>
          <w:w w:val="105"/>
        </w:rPr>
        <w:t>your</w:t>
      </w:r>
      <w:r>
        <w:rPr>
          <w:rFonts w:ascii="Garamond"/>
          <w:spacing w:val="-9"/>
          <w:w w:val="105"/>
        </w:rPr>
        <w:t xml:space="preserve"> </w:t>
      </w:r>
      <w:r>
        <w:rPr>
          <w:rFonts w:ascii="Garamond"/>
          <w:w w:val="105"/>
        </w:rPr>
        <w:t>health</w:t>
      </w:r>
      <w:r>
        <w:rPr>
          <w:rFonts w:ascii="Garamond"/>
          <w:spacing w:val="-10"/>
          <w:w w:val="105"/>
        </w:rPr>
        <w:t xml:space="preserve"> </w:t>
      </w:r>
      <w:r>
        <w:rPr>
          <w:rFonts w:ascii="Garamond"/>
          <w:w w:val="105"/>
        </w:rPr>
        <w:t>professional</w:t>
      </w:r>
      <w:r>
        <w:rPr>
          <w:rFonts w:ascii="Garamond"/>
          <w:spacing w:val="-9"/>
          <w:w w:val="105"/>
        </w:rPr>
        <w:t xml:space="preserve"> </w:t>
      </w:r>
      <w:r>
        <w:rPr>
          <w:rFonts w:ascii="Garamond"/>
          <w:w w:val="105"/>
        </w:rPr>
        <w:t>college.</w:t>
      </w:r>
    </w:p>
    <w:p w:rsidR="002B3264" w:rsidRDefault="002B3264">
      <w:pPr>
        <w:pStyle w:val="BodyText"/>
        <w:rPr>
          <w:rFonts w:ascii="Garamond"/>
          <w:sz w:val="20"/>
        </w:rPr>
      </w:pPr>
    </w:p>
    <w:p w:rsidR="002B3264" w:rsidRDefault="002B3264">
      <w:pPr>
        <w:pStyle w:val="BodyText"/>
        <w:rPr>
          <w:rFonts w:ascii="Garamond"/>
          <w:sz w:val="20"/>
        </w:rPr>
      </w:pPr>
    </w:p>
    <w:p w:rsidR="002B3264" w:rsidRDefault="00701E87">
      <w:pPr>
        <w:pStyle w:val="ListParagraph"/>
        <w:numPr>
          <w:ilvl w:val="0"/>
          <w:numId w:val="1"/>
        </w:numPr>
        <w:tabs>
          <w:tab w:val="left" w:pos="563"/>
          <w:tab w:val="left" w:pos="564"/>
        </w:tabs>
        <w:spacing w:before="231" w:line="264" w:lineRule="auto"/>
        <w:ind w:left="563" w:right="463" w:hanging="373"/>
        <w:rPr>
          <w:sz w:val="24"/>
        </w:rPr>
      </w:pPr>
      <w:r>
        <w:rPr>
          <w:sz w:val="24"/>
        </w:rPr>
        <w:t>If there is a history of a positive PPD, a chest x-ray in addition to documentation of a positive PPD test is required.</w:t>
      </w:r>
    </w:p>
    <w:p w:rsidR="002B3264" w:rsidRDefault="002B3264">
      <w:pPr>
        <w:pStyle w:val="BodyText"/>
        <w:rPr>
          <w:sz w:val="20"/>
        </w:rPr>
      </w:pPr>
    </w:p>
    <w:p w:rsidR="002B3264" w:rsidRDefault="006E36B4">
      <w:pPr>
        <w:pStyle w:val="BodyText"/>
        <w:spacing w:before="10"/>
        <w:rPr>
          <w:sz w:val="20"/>
        </w:rPr>
      </w:pPr>
      <w:r>
        <w:pict>
          <v:shape id="_x0000_s1026" type="#_x0000_t202" style="position:absolute;margin-left:43.35pt;margin-top:14.95pt;width:538.25pt;height:24.35pt;z-index:-251656192;mso-wrap-distance-left:0;mso-wrap-distance-right:0;mso-position-horizontal-relative:page" fillcolor="gray" strokeweight="2pt">
            <v:textbox inset="0,0,0,0">
              <w:txbxContent>
                <w:p w:rsidR="002B3264" w:rsidRDefault="00701E87">
                  <w:pPr>
                    <w:spacing w:before="21"/>
                    <w:ind w:left="121"/>
                    <w:rPr>
                      <w:rFonts w:ascii="Calibri"/>
                      <w:b/>
                      <w:sz w:val="24"/>
                    </w:rPr>
                  </w:pPr>
                  <w:r>
                    <w:rPr>
                      <w:rFonts w:ascii="Calibri"/>
                      <w:b/>
                      <w:color w:val="FFFFFF"/>
                      <w:sz w:val="24"/>
                    </w:rPr>
                    <w:t>Influenza</w:t>
                  </w:r>
                </w:p>
              </w:txbxContent>
            </v:textbox>
            <w10:wrap type="topAndBottom" anchorx="page"/>
          </v:shape>
        </w:pict>
      </w:r>
    </w:p>
    <w:p w:rsidR="002B3264" w:rsidRDefault="002B3264">
      <w:pPr>
        <w:pStyle w:val="BodyText"/>
        <w:spacing w:before="8"/>
        <w:rPr>
          <w:sz w:val="13"/>
        </w:rPr>
      </w:pPr>
    </w:p>
    <w:p w:rsidR="002B3264" w:rsidRDefault="00701E87">
      <w:pPr>
        <w:pStyle w:val="ListParagraph"/>
        <w:numPr>
          <w:ilvl w:val="0"/>
          <w:numId w:val="1"/>
        </w:numPr>
        <w:tabs>
          <w:tab w:val="left" w:pos="543"/>
          <w:tab w:val="left" w:pos="544"/>
        </w:tabs>
        <w:spacing w:before="95"/>
        <w:ind w:left="543"/>
        <w:rPr>
          <w:b/>
          <w:sz w:val="24"/>
        </w:rPr>
      </w:pPr>
      <w:r>
        <w:rPr>
          <w:sz w:val="24"/>
        </w:rPr>
        <w:t>Documentation of an annual flu vaccine administered during the current flu season is due before</w:t>
      </w:r>
      <w:r>
        <w:rPr>
          <w:spacing w:val="-24"/>
          <w:sz w:val="24"/>
        </w:rPr>
        <w:t xml:space="preserve"> </w:t>
      </w:r>
      <w:r>
        <w:rPr>
          <w:b/>
          <w:sz w:val="24"/>
        </w:rPr>
        <w:t>November</w:t>
      </w:r>
    </w:p>
    <w:p w:rsidR="002B3264" w:rsidRDefault="00701E87">
      <w:pPr>
        <w:pStyle w:val="BodyText"/>
        <w:spacing w:before="115"/>
        <w:ind w:left="545"/>
      </w:pPr>
      <w:r>
        <w:rPr>
          <w:b/>
        </w:rPr>
        <w:t>1</w:t>
      </w:r>
      <w:r>
        <w:t>. Please be sure to include processing time in your timeline for vaccination</w:t>
      </w:r>
    </w:p>
    <w:sectPr w:rsidR="002B3264">
      <w:pgSz w:w="12240" w:h="15840"/>
      <w:pgMar w:top="1900" w:right="500" w:bottom="280" w:left="620" w:header="1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B4" w:rsidRDefault="006E36B4">
      <w:r>
        <w:separator/>
      </w:r>
    </w:p>
  </w:endnote>
  <w:endnote w:type="continuationSeparator" w:id="0">
    <w:p w:rsidR="006E36B4" w:rsidRDefault="006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B4" w:rsidRDefault="006E36B4">
      <w:r>
        <w:separator/>
      </w:r>
    </w:p>
  </w:footnote>
  <w:footnote w:type="continuationSeparator" w:id="0">
    <w:p w:rsidR="006E36B4" w:rsidRDefault="006E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64" w:rsidRDefault="006E36B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35.05pt;margin-top:69.65pt;width:346.95pt;height:19.05pt;z-index:-251658752;mso-position-horizontal-relative:page;mso-position-vertical-relative:page" filled="f" stroked="f">
          <v:textbox inset="0,0,0,0">
            <w:txbxContent>
              <w:p w:rsidR="002B3264" w:rsidRDefault="00701E87">
                <w:pPr>
                  <w:spacing w:before="10"/>
                  <w:ind w:left="20"/>
                  <w:rPr>
                    <w:b/>
                    <w:sz w:val="24"/>
                  </w:rPr>
                </w:pPr>
                <w:r>
                  <w:rPr>
                    <w:b/>
                    <w:sz w:val="24"/>
                  </w:rPr>
                  <w:t>College of Nursing</w:t>
                </w:r>
                <w:r w:rsidR="00FA336D">
                  <w:rPr>
                    <w:b/>
                    <w:sz w:val="24"/>
                  </w:rPr>
                  <w:t xml:space="preserve"> Faculty</w:t>
                </w:r>
                <w:r>
                  <w:rPr>
                    <w:b/>
                    <w:sz w:val="24"/>
                  </w:rPr>
                  <w:t xml:space="preserve"> Immunization Requirements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0B5E"/>
    <w:multiLevelType w:val="hybridMultilevel"/>
    <w:tmpl w:val="8E863D2C"/>
    <w:lvl w:ilvl="0" w:tplc="0AE4101A">
      <w:numFmt w:val="bullet"/>
      <w:lvlText w:val=""/>
      <w:lvlJc w:val="left"/>
      <w:pPr>
        <w:ind w:left="918" w:hanging="360"/>
      </w:pPr>
      <w:rPr>
        <w:rFonts w:ascii="Symbol" w:eastAsia="Symbol" w:hAnsi="Symbol" w:cs="Symbol" w:hint="default"/>
        <w:w w:val="99"/>
        <w:sz w:val="20"/>
        <w:szCs w:val="20"/>
        <w:lang w:val="en-US" w:eastAsia="en-US" w:bidi="en-US"/>
      </w:rPr>
    </w:lvl>
    <w:lvl w:ilvl="1" w:tplc="1ED2D23E">
      <w:start w:val="1"/>
      <w:numFmt w:val="decimal"/>
      <w:lvlText w:val="%2."/>
      <w:lvlJc w:val="left"/>
      <w:pPr>
        <w:ind w:left="2279" w:hanging="240"/>
        <w:jc w:val="left"/>
      </w:pPr>
      <w:rPr>
        <w:rFonts w:ascii="Times New Roman" w:eastAsia="Times New Roman" w:hAnsi="Times New Roman" w:cs="Times New Roman" w:hint="default"/>
        <w:spacing w:val="-5"/>
        <w:w w:val="100"/>
        <w:sz w:val="24"/>
        <w:szCs w:val="24"/>
        <w:lang w:val="en-US" w:eastAsia="en-US" w:bidi="en-US"/>
      </w:rPr>
    </w:lvl>
    <w:lvl w:ilvl="2" w:tplc="186E7FBE">
      <w:numFmt w:val="bullet"/>
      <w:lvlText w:val=""/>
      <w:lvlJc w:val="left"/>
      <w:pPr>
        <w:ind w:left="2759" w:hanging="360"/>
      </w:pPr>
      <w:rPr>
        <w:rFonts w:ascii="Symbol" w:eastAsia="Symbol" w:hAnsi="Symbol" w:cs="Symbol" w:hint="default"/>
        <w:w w:val="99"/>
        <w:sz w:val="20"/>
        <w:szCs w:val="20"/>
        <w:lang w:val="en-US" w:eastAsia="en-US" w:bidi="en-US"/>
      </w:rPr>
    </w:lvl>
    <w:lvl w:ilvl="3" w:tplc="2D3E1714">
      <w:numFmt w:val="bullet"/>
      <w:lvlText w:val="•"/>
      <w:lvlJc w:val="left"/>
      <w:pPr>
        <w:ind w:left="3805" w:hanging="360"/>
      </w:pPr>
      <w:rPr>
        <w:rFonts w:hint="default"/>
        <w:lang w:val="en-US" w:eastAsia="en-US" w:bidi="en-US"/>
      </w:rPr>
    </w:lvl>
    <w:lvl w:ilvl="4" w:tplc="D904EB76">
      <w:numFmt w:val="bullet"/>
      <w:lvlText w:val="•"/>
      <w:lvlJc w:val="left"/>
      <w:pPr>
        <w:ind w:left="4850" w:hanging="360"/>
      </w:pPr>
      <w:rPr>
        <w:rFonts w:hint="default"/>
        <w:lang w:val="en-US" w:eastAsia="en-US" w:bidi="en-US"/>
      </w:rPr>
    </w:lvl>
    <w:lvl w:ilvl="5" w:tplc="C93EC750">
      <w:numFmt w:val="bullet"/>
      <w:lvlText w:val="•"/>
      <w:lvlJc w:val="left"/>
      <w:pPr>
        <w:ind w:left="5895" w:hanging="360"/>
      </w:pPr>
      <w:rPr>
        <w:rFonts w:hint="default"/>
        <w:lang w:val="en-US" w:eastAsia="en-US" w:bidi="en-US"/>
      </w:rPr>
    </w:lvl>
    <w:lvl w:ilvl="6" w:tplc="C1C645DC">
      <w:numFmt w:val="bullet"/>
      <w:lvlText w:val="•"/>
      <w:lvlJc w:val="left"/>
      <w:pPr>
        <w:ind w:left="6940" w:hanging="360"/>
      </w:pPr>
      <w:rPr>
        <w:rFonts w:hint="default"/>
        <w:lang w:val="en-US" w:eastAsia="en-US" w:bidi="en-US"/>
      </w:rPr>
    </w:lvl>
    <w:lvl w:ilvl="7" w:tplc="829C1B1A">
      <w:numFmt w:val="bullet"/>
      <w:lvlText w:val="•"/>
      <w:lvlJc w:val="left"/>
      <w:pPr>
        <w:ind w:left="7985" w:hanging="360"/>
      </w:pPr>
      <w:rPr>
        <w:rFonts w:hint="default"/>
        <w:lang w:val="en-US" w:eastAsia="en-US" w:bidi="en-US"/>
      </w:rPr>
    </w:lvl>
    <w:lvl w:ilvl="8" w:tplc="2292A960">
      <w:numFmt w:val="bullet"/>
      <w:lvlText w:val="•"/>
      <w:lvlJc w:val="left"/>
      <w:pPr>
        <w:ind w:left="903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B3264"/>
    <w:rsid w:val="00297D46"/>
    <w:rsid w:val="002B3264"/>
    <w:rsid w:val="00660A5E"/>
    <w:rsid w:val="006E36B4"/>
    <w:rsid w:val="00701E87"/>
    <w:rsid w:val="00FA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9758B"/>
  <w15:docId w15:val="{DE110DB0-BD1A-4319-AE4D-7AC76649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7"/>
      <w:ind w:left="275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7D46"/>
    <w:rPr>
      <w:color w:val="0000FF" w:themeColor="hyperlink"/>
      <w:u w:val="single"/>
    </w:rPr>
  </w:style>
  <w:style w:type="paragraph" w:styleId="Header">
    <w:name w:val="header"/>
    <w:basedOn w:val="Normal"/>
    <w:link w:val="HeaderChar"/>
    <w:uiPriority w:val="99"/>
    <w:unhideWhenUsed/>
    <w:rsid w:val="00FA336D"/>
    <w:pPr>
      <w:tabs>
        <w:tab w:val="center" w:pos="4680"/>
        <w:tab w:val="right" w:pos="9360"/>
      </w:tabs>
    </w:pPr>
  </w:style>
  <w:style w:type="character" w:customStyle="1" w:styleId="HeaderChar">
    <w:name w:val="Header Char"/>
    <w:basedOn w:val="DefaultParagraphFont"/>
    <w:link w:val="Header"/>
    <w:uiPriority w:val="99"/>
    <w:rsid w:val="00FA336D"/>
    <w:rPr>
      <w:rFonts w:ascii="Times New Roman" w:eastAsia="Times New Roman" w:hAnsi="Times New Roman" w:cs="Times New Roman"/>
      <w:lang w:bidi="en-US"/>
    </w:rPr>
  </w:style>
  <w:style w:type="paragraph" w:styleId="Footer">
    <w:name w:val="footer"/>
    <w:basedOn w:val="Normal"/>
    <w:link w:val="FooterChar"/>
    <w:uiPriority w:val="99"/>
    <w:unhideWhenUsed/>
    <w:rsid w:val="00FA336D"/>
    <w:pPr>
      <w:tabs>
        <w:tab w:val="center" w:pos="4680"/>
        <w:tab w:val="right" w:pos="9360"/>
      </w:tabs>
    </w:pPr>
  </w:style>
  <w:style w:type="character" w:customStyle="1" w:styleId="FooterChar">
    <w:name w:val="Footer Char"/>
    <w:basedOn w:val="DefaultParagraphFont"/>
    <w:link w:val="Footer"/>
    <w:uiPriority w:val="99"/>
    <w:rsid w:val="00FA336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ployeehealth@osum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ployeehealth@os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476</Words>
  <Characters>2714</Characters>
  <Application>Microsoft Office Word</Application>
  <DocSecurity>0</DocSecurity>
  <Lines>22</Lines>
  <Paragraphs>6</Paragraphs>
  <ScaleCrop>false</ScaleCrop>
  <Company>SCCM-2012</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Josephine Y.</dc:creator>
  <cp:lastModifiedBy>Fleming, Leah J.</cp:lastModifiedBy>
  <cp:revision>4</cp:revision>
  <dcterms:created xsi:type="dcterms:W3CDTF">2019-09-25T13:34:00Z</dcterms:created>
  <dcterms:modified xsi:type="dcterms:W3CDTF">2019-09-26T17:45:00Z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Publisher 2016</vt:lpwstr>
  </property>
  <property fmtid="{D5CDD505-2E9C-101B-9397-08002B2CF9AE}" pid="4" name="LastSaved">
    <vt:filetime>2019-09-25T00:00:00Z</vt:filetime>
  </property>
</Properties>
</file>