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B3CB" w14:textId="690B2180" w:rsidR="00BB0CB1" w:rsidRPr="00BB0CB1" w:rsidRDefault="000B16AD" w:rsidP="00BB0CB1">
      <w:pPr>
        <w:rPr>
          <w:rFonts w:ascii="Arial" w:hAnsi="Arial" w:cs="Arial"/>
          <w:b/>
          <w:color w:val="C00000"/>
          <w:sz w:val="28"/>
        </w:rPr>
      </w:pPr>
      <w:r>
        <w:rPr>
          <w:rFonts w:ascii="Arial" w:hAnsi="Arial" w:cs="Arial"/>
          <w:b/>
          <w:color w:val="C00000"/>
          <w:sz w:val="28"/>
        </w:rPr>
        <w:t xml:space="preserve">FAQs </w:t>
      </w:r>
      <w:r w:rsidR="00BB0CB1" w:rsidRPr="00BB0CB1">
        <w:rPr>
          <w:rFonts w:ascii="Arial" w:hAnsi="Arial" w:cs="Arial"/>
          <w:b/>
          <w:color w:val="C00000"/>
          <w:sz w:val="28"/>
        </w:rPr>
        <w:t xml:space="preserve">Work </w:t>
      </w:r>
      <w:r w:rsidR="004F7814">
        <w:rPr>
          <w:rFonts w:ascii="Arial" w:hAnsi="Arial" w:cs="Arial"/>
          <w:b/>
          <w:color w:val="C00000"/>
          <w:sz w:val="28"/>
        </w:rPr>
        <w:t>P</w:t>
      </w:r>
      <w:r w:rsidR="00BB0CB1" w:rsidRPr="00BB0CB1">
        <w:rPr>
          <w:rFonts w:ascii="Arial" w:hAnsi="Arial" w:cs="Arial"/>
          <w:b/>
          <w:color w:val="C00000"/>
          <w:sz w:val="28"/>
        </w:rPr>
        <w:t xml:space="preserve">lan </w:t>
      </w:r>
      <w:r>
        <w:rPr>
          <w:rFonts w:ascii="Arial" w:hAnsi="Arial" w:cs="Arial"/>
          <w:b/>
          <w:color w:val="C00000"/>
          <w:sz w:val="28"/>
        </w:rPr>
        <w:t>(</w:t>
      </w:r>
      <w:r w:rsidR="00BB0CB1" w:rsidRPr="00BB0CB1">
        <w:rPr>
          <w:rFonts w:ascii="Arial" w:hAnsi="Arial" w:cs="Arial"/>
          <w:b/>
          <w:color w:val="C00000"/>
          <w:sz w:val="28"/>
        </w:rPr>
        <w:t>Webinar</w:t>
      </w:r>
      <w:r w:rsidR="00FD364C">
        <w:rPr>
          <w:rFonts w:ascii="Arial" w:hAnsi="Arial" w:cs="Arial"/>
          <w:b/>
          <w:color w:val="C00000"/>
          <w:sz w:val="28"/>
        </w:rPr>
        <w:t xml:space="preserve"> 3-28-2017</w:t>
      </w:r>
      <w:r>
        <w:rPr>
          <w:rFonts w:ascii="Arial" w:hAnsi="Arial" w:cs="Arial"/>
          <w:b/>
          <w:color w:val="C00000"/>
          <w:sz w:val="28"/>
        </w:rPr>
        <w:t>)</w:t>
      </w:r>
    </w:p>
    <w:p w14:paraId="544A3D26" w14:textId="77777777" w:rsidR="00BB0CB1" w:rsidRPr="00BB0CB1" w:rsidRDefault="00BB0CB1" w:rsidP="00BB0CB1">
      <w:pPr>
        <w:rPr>
          <w:rFonts w:ascii="Arial" w:hAnsi="Arial" w:cs="Arial"/>
        </w:rPr>
      </w:pPr>
    </w:p>
    <w:p w14:paraId="3F18C2CE" w14:textId="77777777" w:rsidR="00BB0CB1" w:rsidRPr="00891E1B" w:rsidRDefault="00891E1B" w:rsidP="00BB0CB1">
      <w:pPr>
        <w:rPr>
          <w:rFonts w:ascii="Arial" w:hAnsi="Arial" w:cs="Arial"/>
          <w:b/>
        </w:rPr>
      </w:pPr>
      <w:bookmarkStart w:id="0" w:name="_GoBack"/>
      <w:r w:rsidRPr="00891E1B">
        <w:rPr>
          <w:rFonts w:ascii="Arial" w:hAnsi="Arial" w:cs="Arial"/>
          <w:b/>
        </w:rPr>
        <w:t xml:space="preserve">Q: </w:t>
      </w:r>
      <w:r w:rsidR="00BB0CB1" w:rsidRPr="00891E1B">
        <w:rPr>
          <w:rFonts w:ascii="Arial" w:hAnsi="Arial" w:cs="Arial"/>
          <w:b/>
          <w:i/>
        </w:rPr>
        <w:t>If a milestone has b</w:t>
      </w:r>
      <w:r w:rsidRPr="00891E1B">
        <w:rPr>
          <w:rFonts w:ascii="Arial" w:hAnsi="Arial" w:cs="Arial"/>
          <w:b/>
          <w:i/>
        </w:rPr>
        <w:t>een reached since the start of 20</w:t>
      </w:r>
      <w:r w:rsidR="00BB0CB1" w:rsidRPr="00891E1B">
        <w:rPr>
          <w:rFonts w:ascii="Arial" w:hAnsi="Arial" w:cs="Arial"/>
          <w:b/>
          <w:i/>
        </w:rPr>
        <w:t>17</w:t>
      </w:r>
      <w:r w:rsidRPr="00891E1B">
        <w:rPr>
          <w:rFonts w:ascii="Arial" w:hAnsi="Arial" w:cs="Arial"/>
          <w:b/>
          <w:i/>
        </w:rPr>
        <w:t>,</w:t>
      </w:r>
      <w:r w:rsidR="00BB0CB1" w:rsidRPr="00891E1B">
        <w:rPr>
          <w:rFonts w:ascii="Arial" w:hAnsi="Arial" w:cs="Arial"/>
          <w:b/>
          <w:i/>
        </w:rPr>
        <w:t xml:space="preserve"> how is that to be denoted?</w:t>
      </w:r>
    </w:p>
    <w:p w14:paraId="07AF60C4" w14:textId="77C4A803" w:rsidR="00BB0CB1" w:rsidRPr="00891E1B" w:rsidRDefault="00891E1B" w:rsidP="00BB0CB1">
      <w:pPr>
        <w:rPr>
          <w:rFonts w:ascii="Arial" w:hAnsi="Arial" w:cs="Arial"/>
        </w:rPr>
      </w:pPr>
      <w:r w:rsidRPr="00891E1B">
        <w:rPr>
          <w:rFonts w:ascii="Arial" w:hAnsi="Arial" w:cs="Arial"/>
          <w:b/>
        </w:rPr>
        <w:t>A:</w:t>
      </w:r>
      <w:r w:rsidRPr="00891E1B">
        <w:rPr>
          <w:rFonts w:ascii="Arial" w:hAnsi="Arial" w:cs="Arial"/>
        </w:rPr>
        <w:t xml:space="preserve"> Incorporate your current status as of April 30, 2017. In this case, it may be marked as ‘Not Started’ </w:t>
      </w:r>
      <w:r w:rsidR="00FD364C">
        <w:rPr>
          <w:rFonts w:ascii="Arial" w:hAnsi="Arial" w:cs="Arial"/>
        </w:rPr>
        <w:t>or ‘In Progress’ in 2016, and ‘C</w:t>
      </w:r>
      <w:r w:rsidRPr="00891E1B">
        <w:rPr>
          <w:rFonts w:ascii="Arial" w:hAnsi="Arial" w:cs="Arial"/>
        </w:rPr>
        <w:t>omplete’ in April 2017.</w:t>
      </w:r>
    </w:p>
    <w:p w14:paraId="6E1FE125" w14:textId="77777777" w:rsidR="00BB0CB1" w:rsidRPr="00891E1B" w:rsidRDefault="00891E1B" w:rsidP="00BB0CB1">
      <w:pPr>
        <w:rPr>
          <w:rFonts w:ascii="Arial" w:hAnsi="Arial" w:cs="Arial"/>
          <w:b/>
          <w:i/>
        </w:rPr>
      </w:pPr>
      <w:r w:rsidRPr="00891E1B">
        <w:rPr>
          <w:rFonts w:ascii="Arial" w:hAnsi="Arial" w:cs="Arial"/>
          <w:b/>
          <w:i/>
        </w:rPr>
        <w:t xml:space="preserve">Q: </w:t>
      </w:r>
      <w:r w:rsidR="00BB0CB1" w:rsidRPr="00891E1B">
        <w:rPr>
          <w:rFonts w:ascii="Arial" w:hAnsi="Arial" w:cs="Arial"/>
          <w:b/>
          <w:i/>
        </w:rPr>
        <w:t>Will we be required to submit an updated work plan every 6 months until completed, or will we follow</w:t>
      </w:r>
      <w:r w:rsidRPr="00891E1B">
        <w:rPr>
          <w:rFonts w:ascii="Arial" w:hAnsi="Arial" w:cs="Arial"/>
          <w:b/>
          <w:i/>
        </w:rPr>
        <w:t xml:space="preserve"> the timeline outlined by Wally [April and October 2017, April 2018]?</w:t>
      </w:r>
    </w:p>
    <w:p w14:paraId="0C89C314" w14:textId="7B7FC246" w:rsidR="00891E1B" w:rsidRPr="00FD364C" w:rsidRDefault="00891E1B" w:rsidP="00BB0CB1">
      <w:pPr>
        <w:rPr>
          <w:rFonts w:ascii="Arial" w:hAnsi="Arial" w:cs="Arial"/>
        </w:rPr>
      </w:pPr>
      <w:r w:rsidRPr="00891E1B">
        <w:rPr>
          <w:rFonts w:ascii="Arial" w:hAnsi="Arial" w:cs="Arial"/>
          <w:b/>
        </w:rPr>
        <w:t>A:</w:t>
      </w:r>
      <w:r>
        <w:rPr>
          <w:rFonts w:ascii="Arial" w:hAnsi="Arial" w:cs="Arial"/>
        </w:rPr>
        <w:t xml:space="preserve"> At this time, there are three reporting periods. It </w:t>
      </w:r>
      <w:proofErr w:type="gramStart"/>
      <w:r>
        <w:rPr>
          <w:rFonts w:ascii="Arial" w:hAnsi="Arial" w:cs="Arial"/>
        </w:rPr>
        <w:t>is expected</w:t>
      </w:r>
      <w:proofErr w:type="gramEnd"/>
      <w:r>
        <w:rPr>
          <w:rFonts w:ascii="Arial" w:hAnsi="Arial" w:cs="Arial"/>
        </w:rPr>
        <w:t xml:space="preserve"> that agencies may wish to continue to use the template/milestones to track progress beyond the initial three report periods.</w:t>
      </w:r>
    </w:p>
    <w:p w14:paraId="1C0D998E" w14:textId="77777777" w:rsidR="00BB0CB1" w:rsidRPr="00891E1B" w:rsidRDefault="00891E1B" w:rsidP="00BB0CB1">
      <w:pPr>
        <w:rPr>
          <w:rFonts w:ascii="Arial" w:hAnsi="Arial" w:cs="Arial"/>
          <w:b/>
          <w:i/>
        </w:rPr>
      </w:pPr>
      <w:r w:rsidRPr="00891E1B">
        <w:rPr>
          <w:rFonts w:ascii="Arial" w:hAnsi="Arial" w:cs="Arial"/>
          <w:b/>
          <w:i/>
        </w:rPr>
        <w:t xml:space="preserve">Q: </w:t>
      </w:r>
      <w:r w:rsidR="00BB0CB1" w:rsidRPr="00891E1B">
        <w:rPr>
          <w:rFonts w:ascii="Arial" w:hAnsi="Arial" w:cs="Arial"/>
          <w:b/>
          <w:i/>
        </w:rPr>
        <w:t>Can we get this work</w:t>
      </w:r>
      <w:r>
        <w:rPr>
          <w:rFonts w:ascii="Arial" w:hAnsi="Arial" w:cs="Arial"/>
          <w:b/>
          <w:i/>
        </w:rPr>
        <w:t xml:space="preserve"> </w:t>
      </w:r>
      <w:r w:rsidR="00BB0CB1" w:rsidRPr="00891E1B">
        <w:rPr>
          <w:rFonts w:ascii="Arial" w:hAnsi="Arial" w:cs="Arial"/>
          <w:b/>
          <w:i/>
        </w:rPr>
        <w:t xml:space="preserve">plan template even if we already applied for </w:t>
      </w:r>
      <w:r w:rsidR="007A227E" w:rsidRPr="00891E1B">
        <w:rPr>
          <w:rFonts w:ascii="Arial" w:hAnsi="Arial" w:cs="Arial"/>
          <w:b/>
          <w:i/>
        </w:rPr>
        <w:t>accreditation</w:t>
      </w:r>
      <w:r w:rsidR="00BB0CB1" w:rsidRPr="00891E1B">
        <w:rPr>
          <w:rFonts w:ascii="Arial" w:hAnsi="Arial" w:cs="Arial"/>
          <w:b/>
          <w:i/>
        </w:rPr>
        <w:t>, just for our own use?</w:t>
      </w:r>
    </w:p>
    <w:p w14:paraId="39F23FFC" w14:textId="0CBAFE9A" w:rsidR="00891E1B" w:rsidRDefault="00BB0CB1" w:rsidP="00BB0CB1">
      <w:pPr>
        <w:rPr>
          <w:rFonts w:ascii="Arial" w:hAnsi="Arial" w:cs="Arial"/>
        </w:rPr>
      </w:pPr>
      <w:r w:rsidRPr="00891E1B">
        <w:rPr>
          <w:rFonts w:ascii="Arial" w:hAnsi="Arial" w:cs="Arial"/>
          <w:b/>
        </w:rPr>
        <w:t>A</w:t>
      </w:r>
      <w:r w:rsidR="00891E1B" w:rsidRPr="00891E1B">
        <w:rPr>
          <w:rFonts w:ascii="Arial" w:hAnsi="Arial" w:cs="Arial"/>
          <w:b/>
        </w:rPr>
        <w:t>:</w:t>
      </w:r>
      <w:r w:rsidRPr="00891E1B">
        <w:rPr>
          <w:rFonts w:ascii="Arial" w:hAnsi="Arial" w:cs="Arial"/>
        </w:rPr>
        <w:t xml:space="preserve"> The work plan template will available to anyone who wishes to use it.</w:t>
      </w:r>
    </w:p>
    <w:p w14:paraId="1D8D7719" w14:textId="77777777" w:rsidR="00BB0CB1" w:rsidRPr="00891E1B" w:rsidRDefault="00891E1B" w:rsidP="00BB0CB1">
      <w:pPr>
        <w:rPr>
          <w:rFonts w:ascii="Arial" w:hAnsi="Arial" w:cs="Arial"/>
          <w:b/>
          <w:i/>
        </w:rPr>
      </w:pPr>
      <w:r w:rsidRPr="00891E1B">
        <w:rPr>
          <w:rFonts w:ascii="Arial" w:hAnsi="Arial" w:cs="Arial"/>
          <w:b/>
          <w:i/>
        </w:rPr>
        <w:t>Q: P</w:t>
      </w:r>
      <w:r w:rsidR="00BB0CB1" w:rsidRPr="00891E1B">
        <w:rPr>
          <w:rFonts w:ascii="Arial" w:hAnsi="Arial" w:cs="Arial"/>
          <w:b/>
          <w:i/>
        </w:rPr>
        <w:t xml:space="preserve">lease provide an example of </w:t>
      </w:r>
      <w:r w:rsidRPr="00891E1B">
        <w:rPr>
          <w:rFonts w:ascii="Arial" w:hAnsi="Arial" w:cs="Arial"/>
          <w:b/>
          <w:i/>
        </w:rPr>
        <w:t>“</w:t>
      </w:r>
      <w:r w:rsidR="00BB0CB1" w:rsidRPr="00891E1B">
        <w:rPr>
          <w:rFonts w:ascii="Arial" w:hAnsi="Arial" w:cs="Arial"/>
          <w:b/>
          <w:i/>
        </w:rPr>
        <w:t>economies of scale</w:t>
      </w:r>
      <w:r w:rsidRPr="00891E1B">
        <w:rPr>
          <w:rFonts w:ascii="Arial" w:hAnsi="Arial" w:cs="Arial"/>
          <w:b/>
          <w:i/>
        </w:rPr>
        <w:t>: for shared services.</w:t>
      </w:r>
    </w:p>
    <w:p w14:paraId="0335209D" w14:textId="77777777" w:rsidR="00515170" w:rsidRPr="00FD364C" w:rsidRDefault="00FE4530" w:rsidP="004F7814">
      <w:pPr>
        <w:rPr>
          <w:rFonts w:ascii="Arial" w:hAnsi="Arial" w:cs="Arial"/>
        </w:rPr>
      </w:pPr>
      <w:r w:rsidRPr="00FD364C">
        <w:rPr>
          <w:rFonts w:ascii="Arial" w:hAnsi="Arial" w:cs="Arial"/>
          <w:b/>
        </w:rPr>
        <w:t>A:</w:t>
      </w:r>
      <w:r w:rsidRPr="00FD364C">
        <w:rPr>
          <w:rFonts w:ascii="Arial" w:hAnsi="Arial" w:cs="Arial"/>
        </w:rPr>
        <w:t xml:space="preserve">  </w:t>
      </w:r>
      <w:r w:rsidR="009C69A0" w:rsidRPr="00FD364C">
        <w:rPr>
          <w:rFonts w:ascii="Arial" w:hAnsi="Arial" w:cs="Arial"/>
        </w:rPr>
        <w:t>Economies of scale exist when “per unit costs of production decline with increasing amounts of output”</w:t>
      </w:r>
      <w:r w:rsidR="006F2B31" w:rsidRPr="00FD364C">
        <w:rPr>
          <w:rFonts w:ascii="Arial" w:hAnsi="Arial" w:cs="Arial"/>
        </w:rPr>
        <w:t xml:space="preserve"> (</w:t>
      </w:r>
      <w:proofErr w:type="spellStart"/>
      <w:r w:rsidR="006F2B31" w:rsidRPr="00FD364C">
        <w:rPr>
          <w:rFonts w:ascii="Arial" w:hAnsi="Arial" w:cs="Arial"/>
        </w:rPr>
        <w:t>Santerre</w:t>
      </w:r>
      <w:proofErr w:type="spellEnd"/>
      <w:r w:rsidR="00FD73AD" w:rsidRPr="00FD364C">
        <w:rPr>
          <w:rFonts w:ascii="Arial" w:hAnsi="Arial" w:cs="Arial"/>
        </w:rPr>
        <w:t>,</w:t>
      </w:r>
      <w:r w:rsidR="00B554A8" w:rsidRPr="00FD364C">
        <w:rPr>
          <w:rFonts w:ascii="Arial" w:hAnsi="Arial" w:cs="Arial"/>
        </w:rPr>
        <w:t xml:space="preserve"> Health Services Research, </w:t>
      </w:r>
      <w:r w:rsidR="00FD73AD" w:rsidRPr="00FD364C">
        <w:rPr>
          <w:rFonts w:ascii="Arial" w:hAnsi="Arial" w:cs="Arial"/>
        </w:rPr>
        <w:t>2009</w:t>
      </w:r>
      <w:r w:rsidR="009C69A0" w:rsidRPr="00FD364C">
        <w:rPr>
          <w:rFonts w:ascii="Arial" w:hAnsi="Arial" w:cs="Arial"/>
        </w:rPr>
        <w:t xml:space="preserve">). </w:t>
      </w:r>
      <w:r w:rsidR="006F2B31" w:rsidRPr="00FD364C">
        <w:rPr>
          <w:rFonts w:ascii="Arial" w:hAnsi="Arial" w:cs="Arial"/>
        </w:rPr>
        <w:t xml:space="preserve">This occurs as a </w:t>
      </w:r>
      <w:r w:rsidR="002F31C0" w:rsidRPr="00FD364C">
        <w:rPr>
          <w:rFonts w:ascii="Arial" w:hAnsi="Arial" w:cs="Arial"/>
        </w:rPr>
        <w:t>result</w:t>
      </w:r>
      <w:r w:rsidR="006F2B31" w:rsidRPr="00FD364C">
        <w:rPr>
          <w:rFonts w:ascii="Arial" w:hAnsi="Arial" w:cs="Arial"/>
        </w:rPr>
        <w:t xml:space="preserve"> of the ability to </w:t>
      </w:r>
      <w:r w:rsidR="006F2B31" w:rsidRPr="00FD364C">
        <w:rPr>
          <w:rFonts w:ascii="Arial" w:hAnsi="Arial" w:cs="Arial"/>
        </w:rPr>
        <w:t xml:space="preserve">“spread fixed costs of public health infrastructure over larger populations of beneficiaries and </w:t>
      </w:r>
      <w:r w:rsidR="002F31C0" w:rsidRPr="00FD364C">
        <w:rPr>
          <w:rFonts w:ascii="Arial" w:hAnsi="Arial" w:cs="Arial"/>
        </w:rPr>
        <w:t>taxpayers</w:t>
      </w:r>
      <w:r w:rsidR="006F2B31" w:rsidRPr="00FD364C">
        <w:rPr>
          <w:rFonts w:ascii="Arial" w:hAnsi="Arial" w:cs="Arial"/>
        </w:rPr>
        <w:t xml:space="preserve">” (Mays et al, </w:t>
      </w:r>
      <w:r w:rsidR="00B554A8" w:rsidRPr="00FD364C">
        <w:rPr>
          <w:rFonts w:ascii="Arial" w:hAnsi="Arial" w:cs="Arial"/>
        </w:rPr>
        <w:t xml:space="preserve">American Journal of Public Health, </w:t>
      </w:r>
      <w:r w:rsidR="006F2B31" w:rsidRPr="00FD364C">
        <w:rPr>
          <w:rFonts w:ascii="Arial" w:hAnsi="Arial" w:cs="Arial"/>
        </w:rPr>
        <w:t xml:space="preserve">2006). </w:t>
      </w:r>
    </w:p>
    <w:p w14:paraId="761F2D38" w14:textId="2830E899" w:rsidR="00B554A8" w:rsidRPr="00FD364C" w:rsidRDefault="009129B8" w:rsidP="004F7814">
      <w:pPr>
        <w:rPr>
          <w:rFonts w:ascii="Arial" w:hAnsi="Arial" w:cs="Arial"/>
        </w:rPr>
      </w:pPr>
      <w:r w:rsidRPr="00FD364C">
        <w:rPr>
          <w:rFonts w:ascii="Arial" w:hAnsi="Arial" w:cs="Arial"/>
        </w:rPr>
        <w:t>In a local health department context, we can use</w:t>
      </w:r>
      <w:r w:rsidR="009E3A09" w:rsidRPr="00FD364C">
        <w:rPr>
          <w:rFonts w:ascii="Arial" w:hAnsi="Arial" w:cs="Arial"/>
        </w:rPr>
        <w:t xml:space="preserve"> immunization</w:t>
      </w:r>
      <w:r w:rsidR="007A3A4C" w:rsidRPr="00FD364C">
        <w:rPr>
          <w:rFonts w:ascii="Arial" w:hAnsi="Arial" w:cs="Arial"/>
        </w:rPr>
        <w:t xml:space="preserve"> services</w:t>
      </w:r>
      <w:r w:rsidRPr="00FD364C">
        <w:rPr>
          <w:rFonts w:ascii="Arial" w:hAnsi="Arial" w:cs="Arial"/>
        </w:rPr>
        <w:t xml:space="preserve"> as an example</w:t>
      </w:r>
      <w:r w:rsidR="007A3A4C" w:rsidRPr="00FD364C">
        <w:rPr>
          <w:rFonts w:ascii="Arial" w:hAnsi="Arial" w:cs="Arial"/>
        </w:rPr>
        <w:t xml:space="preserve">: A department </w:t>
      </w:r>
      <w:r w:rsidR="007A3A4C" w:rsidRPr="00FD364C">
        <w:rPr>
          <w:rFonts w:ascii="Arial" w:hAnsi="Arial" w:cs="Arial"/>
        </w:rPr>
        <w:t>would</w:t>
      </w:r>
      <w:r w:rsidR="00D52CC2" w:rsidRPr="00FD364C">
        <w:rPr>
          <w:rFonts w:ascii="Arial" w:hAnsi="Arial" w:cs="Arial"/>
        </w:rPr>
        <w:t xml:space="preserve"> need</w:t>
      </w:r>
      <w:r w:rsidR="007A3A4C" w:rsidRPr="00FD364C">
        <w:rPr>
          <w:rFonts w:ascii="Arial" w:hAnsi="Arial" w:cs="Arial"/>
        </w:rPr>
        <w:t xml:space="preserve"> to establish public health </w:t>
      </w:r>
      <w:r w:rsidR="008208C4" w:rsidRPr="00FD364C">
        <w:rPr>
          <w:rFonts w:ascii="Arial" w:hAnsi="Arial" w:cs="Arial"/>
        </w:rPr>
        <w:t>“</w:t>
      </w:r>
      <w:r w:rsidR="007A3A4C" w:rsidRPr="00FD364C">
        <w:rPr>
          <w:rFonts w:ascii="Arial" w:hAnsi="Arial" w:cs="Arial"/>
        </w:rPr>
        <w:t>infrastructure</w:t>
      </w:r>
      <w:r w:rsidR="008208C4" w:rsidRPr="00FD364C">
        <w:rPr>
          <w:rFonts w:ascii="Arial" w:hAnsi="Arial" w:cs="Arial"/>
        </w:rPr>
        <w:t>”</w:t>
      </w:r>
      <w:r w:rsidR="007A3A4C" w:rsidRPr="00FD364C">
        <w:rPr>
          <w:rFonts w:ascii="Arial" w:hAnsi="Arial" w:cs="Arial"/>
        </w:rPr>
        <w:t>, such as</w:t>
      </w:r>
      <w:r w:rsidR="00D52CC2" w:rsidRPr="00FD364C">
        <w:rPr>
          <w:rFonts w:ascii="Arial" w:hAnsi="Arial" w:cs="Arial"/>
        </w:rPr>
        <w:t xml:space="preserve"> equipment</w:t>
      </w:r>
      <w:r w:rsidR="008208C4" w:rsidRPr="00FD364C">
        <w:rPr>
          <w:rFonts w:ascii="Arial" w:hAnsi="Arial" w:cs="Arial"/>
        </w:rPr>
        <w:t>, supplies,</w:t>
      </w:r>
      <w:r w:rsidR="009A1EB5" w:rsidRPr="00FD364C">
        <w:rPr>
          <w:rFonts w:ascii="Arial" w:hAnsi="Arial" w:cs="Arial"/>
        </w:rPr>
        <w:t xml:space="preserve"> clinical office space,</w:t>
      </w:r>
      <w:r w:rsidR="008208C4" w:rsidRPr="00FD364C">
        <w:rPr>
          <w:rFonts w:ascii="Arial" w:hAnsi="Arial" w:cs="Arial"/>
        </w:rPr>
        <w:t xml:space="preserve"> and perhaps a full time staff member</w:t>
      </w:r>
      <w:r w:rsidR="007A3A4C" w:rsidRPr="00FD364C">
        <w:rPr>
          <w:rFonts w:ascii="Arial" w:hAnsi="Arial" w:cs="Arial"/>
        </w:rPr>
        <w:t xml:space="preserve"> to provide immunizations to the public</w:t>
      </w:r>
      <w:r w:rsidR="002338E9" w:rsidRPr="00FD364C">
        <w:rPr>
          <w:rFonts w:ascii="Arial" w:hAnsi="Arial" w:cs="Arial"/>
        </w:rPr>
        <w:t xml:space="preserve"> </w:t>
      </w:r>
      <w:r w:rsidR="00B554A8" w:rsidRPr="00FD364C">
        <w:rPr>
          <w:rFonts w:ascii="Arial" w:hAnsi="Arial" w:cs="Arial"/>
        </w:rPr>
        <w:t xml:space="preserve">(Note: definitions of </w:t>
      </w:r>
      <w:r w:rsidR="008208C4" w:rsidRPr="00FD364C">
        <w:rPr>
          <w:rFonts w:ascii="Arial" w:hAnsi="Arial" w:cs="Arial"/>
        </w:rPr>
        <w:t xml:space="preserve">public health </w:t>
      </w:r>
      <w:r w:rsidR="00B554A8" w:rsidRPr="00FD364C">
        <w:rPr>
          <w:rFonts w:ascii="Arial" w:hAnsi="Arial" w:cs="Arial"/>
        </w:rPr>
        <w:t>“</w:t>
      </w:r>
      <w:r w:rsidR="008208C4" w:rsidRPr="00FD364C">
        <w:rPr>
          <w:rFonts w:ascii="Arial" w:hAnsi="Arial" w:cs="Arial"/>
        </w:rPr>
        <w:t xml:space="preserve">infrastructure” may vary. In this example, we assume that a full time </w:t>
      </w:r>
      <w:r w:rsidR="00B554A8" w:rsidRPr="00FD364C">
        <w:rPr>
          <w:rFonts w:ascii="Arial" w:hAnsi="Arial" w:cs="Arial"/>
        </w:rPr>
        <w:t xml:space="preserve">person would be a part of this </w:t>
      </w:r>
      <w:r w:rsidR="00CF63BB" w:rsidRPr="00FD364C">
        <w:rPr>
          <w:rFonts w:ascii="Arial" w:hAnsi="Arial" w:cs="Arial"/>
        </w:rPr>
        <w:t xml:space="preserve">public health </w:t>
      </w:r>
      <w:r w:rsidR="00B554A8" w:rsidRPr="00FD364C">
        <w:rPr>
          <w:rFonts w:ascii="Arial" w:hAnsi="Arial" w:cs="Arial"/>
        </w:rPr>
        <w:t>“</w:t>
      </w:r>
      <w:r w:rsidR="008208C4" w:rsidRPr="00FD364C">
        <w:rPr>
          <w:rFonts w:ascii="Arial" w:hAnsi="Arial" w:cs="Arial"/>
        </w:rPr>
        <w:t>infrastructure”)</w:t>
      </w:r>
      <w:r w:rsidR="00D52CC2" w:rsidRPr="00FD364C">
        <w:rPr>
          <w:rFonts w:ascii="Arial" w:hAnsi="Arial" w:cs="Arial"/>
        </w:rPr>
        <w:t>.</w:t>
      </w:r>
      <w:r w:rsidR="007A3A4C" w:rsidRPr="00FD364C">
        <w:rPr>
          <w:rFonts w:ascii="Arial" w:hAnsi="Arial" w:cs="Arial"/>
        </w:rPr>
        <w:t xml:space="preserve"> </w:t>
      </w:r>
      <w:r w:rsidR="002338E9" w:rsidRPr="00FD364C">
        <w:rPr>
          <w:rFonts w:ascii="Arial" w:hAnsi="Arial" w:cs="Arial"/>
        </w:rPr>
        <w:t>By establishing this kind of capability, t</w:t>
      </w:r>
      <w:r w:rsidR="007A3A4C" w:rsidRPr="00FD364C">
        <w:rPr>
          <w:rFonts w:ascii="Arial" w:hAnsi="Arial" w:cs="Arial"/>
        </w:rPr>
        <w:t>he department would</w:t>
      </w:r>
      <w:r w:rsidR="008208C4" w:rsidRPr="00FD364C">
        <w:rPr>
          <w:rFonts w:ascii="Arial" w:hAnsi="Arial" w:cs="Arial"/>
        </w:rPr>
        <w:t xml:space="preserve"> then</w:t>
      </w:r>
      <w:r w:rsidR="007A3A4C" w:rsidRPr="00FD364C">
        <w:rPr>
          <w:rFonts w:ascii="Arial" w:hAnsi="Arial" w:cs="Arial"/>
        </w:rPr>
        <w:t xml:space="preserve"> spread the costs of th</w:t>
      </w:r>
      <w:r w:rsidR="00B554A8" w:rsidRPr="00FD364C">
        <w:rPr>
          <w:rFonts w:ascii="Arial" w:hAnsi="Arial" w:cs="Arial"/>
        </w:rPr>
        <w:t>is</w:t>
      </w:r>
      <w:r w:rsidR="007A3A4C" w:rsidRPr="00FD364C">
        <w:rPr>
          <w:rFonts w:ascii="Arial" w:hAnsi="Arial" w:cs="Arial"/>
        </w:rPr>
        <w:t xml:space="preserve"> </w:t>
      </w:r>
      <w:r w:rsidR="00B554A8" w:rsidRPr="00FD364C">
        <w:rPr>
          <w:rFonts w:ascii="Arial" w:hAnsi="Arial" w:cs="Arial"/>
        </w:rPr>
        <w:t>“</w:t>
      </w:r>
      <w:r w:rsidR="007A3A4C" w:rsidRPr="00FD364C">
        <w:rPr>
          <w:rFonts w:ascii="Arial" w:hAnsi="Arial" w:cs="Arial"/>
        </w:rPr>
        <w:t>infrastructure</w:t>
      </w:r>
      <w:r w:rsidR="00B554A8" w:rsidRPr="00FD364C">
        <w:rPr>
          <w:rFonts w:ascii="Arial" w:hAnsi="Arial" w:cs="Arial"/>
        </w:rPr>
        <w:t>”</w:t>
      </w:r>
      <w:r w:rsidR="002338E9" w:rsidRPr="00FD364C">
        <w:rPr>
          <w:rFonts w:ascii="Arial" w:hAnsi="Arial" w:cs="Arial"/>
        </w:rPr>
        <w:t xml:space="preserve"> across the persons served. If there were 100 persons seeking immunizations</w:t>
      </w:r>
      <w:r w:rsidR="00CF63BB" w:rsidRPr="00FD364C">
        <w:rPr>
          <w:rFonts w:ascii="Arial" w:hAnsi="Arial" w:cs="Arial"/>
        </w:rPr>
        <w:t xml:space="preserve"> over a particular period of time</w:t>
      </w:r>
      <w:r w:rsidR="00B554A8" w:rsidRPr="00FD364C">
        <w:rPr>
          <w:rFonts w:ascii="Arial" w:hAnsi="Arial" w:cs="Arial"/>
        </w:rPr>
        <w:t xml:space="preserve"> (say, a week)</w:t>
      </w:r>
      <w:r w:rsidR="002338E9" w:rsidRPr="00FD364C">
        <w:rPr>
          <w:rFonts w:ascii="Arial" w:hAnsi="Arial" w:cs="Arial"/>
        </w:rPr>
        <w:t>, this would</w:t>
      </w:r>
      <w:r w:rsidR="008208C4" w:rsidRPr="00FD364C">
        <w:rPr>
          <w:rFonts w:ascii="Arial" w:hAnsi="Arial" w:cs="Arial"/>
        </w:rPr>
        <w:t xml:space="preserve"> reduce </w:t>
      </w:r>
      <w:r w:rsidR="002338E9" w:rsidRPr="00FD364C">
        <w:rPr>
          <w:rFonts w:ascii="Arial" w:hAnsi="Arial" w:cs="Arial"/>
        </w:rPr>
        <w:t xml:space="preserve">the </w:t>
      </w:r>
      <w:r w:rsidR="008208C4" w:rsidRPr="00FD364C">
        <w:rPr>
          <w:rFonts w:ascii="Arial" w:hAnsi="Arial" w:cs="Arial"/>
        </w:rPr>
        <w:t xml:space="preserve">per person costs </w:t>
      </w:r>
      <w:r w:rsidR="002338E9" w:rsidRPr="00FD364C">
        <w:rPr>
          <w:rFonts w:ascii="Arial" w:hAnsi="Arial" w:cs="Arial"/>
        </w:rPr>
        <w:t xml:space="preserve">of supplying immunizations in comparison to the costs of serving only </w:t>
      </w:r>
      <w:r w:rsidR="007A3A4C" w:rsidRPr="00FD364C">
        <w:rPr>
          <w:rFonts w:ascii="Arial" w:hAnsi="Arial" w:cs="Arial"/>
        </w:rPr>
        <w:t>25 individuals</w:t>
      </w:r>
      <w:r w:rsidR="00CF63BB" w:rsidRPr="00FD364C">
        <w:rPr>
          <w:rFonts w:ascii="Arial" w:hAnsi="Arial" w:cs="Arial"/>
        </w:rPr>
        <w:t xml:space="preserve"> over that s</w:t>
      </w:r>
      <w:r w:rsidR="00B554A8" w:rsidRPr="00FD364C">
        <w:rPr>
          <w:rFonts w:ascii="Arial" w:hAnsi="Arial" w:cs="Arial"/>
        </w:rPr>
        <w:t>ame period of time</w:t>
      </w:r>
      <w:r w:rsidR="008208C4" w:rsidRPr="00FD364C">
        <w:rPr>
          <w:rFonts w:ascii="Arial" w:hAnsi="Arial" w:cs="Arial"/>
        </w:rPr>
        <w:t>. With this larger volume of work to be done (and perhaps paid for</w:t>
      </w:r>
      <w:r w:rsidR="00CF63BB" w:rsidRPr="00FD364C">
        <w:rPr>
          <w:rFonts w:ascii="Arial" w:hAnsi="Arial" w:cs="Arial"/>
        </w:rPr>
        <w:t xml:space="preserve"> </w:t>
      </w:r>
      <w:r w:rsidR="00B554A8" w:rsidRPr="00FD364C">
        <w:rPr>
          <w:rFonts w:ascii="Arial" w:hAnsi="Arial" w:cs="Arial"/>
        </w:rPr>
        <w:t xml:space="preserve">by, </w:t>
      </w:r>
      <w:r w:rsidR="00CF63BB" w:rsidRPr="00FD364C">
        <w:rPr>
          <w:rFonts w:ascii="Arial" w:hAnsi="Arial" w:cs="Arial"/>
        </w:rPr>
        <w:t>or on behalf of,</w:t>
      </w:r>
      <w:r w:rsidRPr="00FD364C">
        <w:rPr>
          <w:rFonts w:ascii="Arial" w:hAnsi="Arial" w:cs="Arial"/>
        </w:rPr>
        <w:t xml:space="preserve"> those receiving the service</w:t>
      </w:r>
      <w:r w:rsidR="008208C4" w:rsidRPr="00FD364C">
        <w:rPr>
          <w:rFonts w:ascii="Arial" w:hAnsi="Arial" w:cs="Arial"/>
        </w:rPr>
        <w:t>)</w:t>
      </w:r>
      <w:r w:rsidR="009E3A09" w:rsidRPr="00FD364C">
        <w:rPr>
          <w:rFonts w:ascii="Arial" w:hAnsi="Arial" w:cs="Arial"/>
        </w:rPr>
        <w:t xml:space="preserve">, </w:t>
      </w:r>
      <w:r w:rsidR="008208C4" w:rsidRPr="00FD364C">
        <w:rPr>
          <w:rFonts w:ascii="Arial" w:hAnsi="Arial" w:cs="Arial"/>
        </w:rPr>
        <w:t>the department</w:t>
      </w:r>
      <w:r w:rsidR="009E3A09" w:rsidRPr="00FD364C">
        <w:rPr>
          <w:rFonts w:ascii="Arial" w:hAnsi="Arial" w:cs="Arial"/>
        </w:rPr>
        <w:t xml:space="preserve"> would be more likely to </w:t>
      </w:r>
      <w:r w:rsidR="008208C4" w:rsidRPr="00FD364C">
        <w:rPr>
          <w:rFonts w:ascii="Arial" w:hAnsi="Arial" w:cs="Arial"/>
        </w:rPr>
        <w:t xml:space="preserve">be able to </w:t>
      </w:r>
      <w:r w:rsidR="005D6E87" w:rsidRPr="00FD364C">
        <w:rPr>
          <w:rFonts w:ascii="Arial" w:hAnsi="Arial" w:cs="Arial"/>
        </w:rPr>
        <w:t xml:space="preserve">pay for the services at a lower per person cost and </w:t>
      </w:r>
      <w:r w:rsidR="009E3A09" w:rsidRPr="00FD364C">
        <w:rPr>
          <w:rFonts w:ascii="Arial" w:hAnsi="Arial" w:cs="Arial"/>
        </w:rPr>
        <w:t>sustain</w:t>
      </w:r>
      <w:r w:rsidR="005D6E87" w:rsidRPr="00FD364C">
        <w:rPr>
          <w:rFonts w:ascii="Arial" w:hAnsi="Arial" w:cs="Arial"/>
        </w:rPr>
        <w:t xml:space="preserve"> them </w:t>
      </w:r>
      <w:r w:rsidR="009E3A09" w:rsidRPr="00FD364C">
        <w:rPr>
          <w:rFonts w:ascii="Arial" w:hAnsi="Arial" w:cs="Arial"/>
        </w:rPr>
        <w:t>into the future</w:t>
      </w:r>
      <w:r w:rsidR="007A3A4C" w:rsidRPr="00FD364C">
        <w:rPr>
          <w:rFonts w:ascii="Arial" w:hAnsi="Arial" w:cs="Arial"/>
        </w:rPr>
        <w:t xml:space="preserve">. </w:t>
      </w:r>
    </w:p>
    <w:p w14:paraId="50792729" w14:textId="7B2A8B35" w:rsidR="004F7814" w:rsidRPr="00FD364C" w:rsidRDefault="00B554A8" w:rsidP="004F7814">
      <w:pPr>
        <w:rPr>
          <w:rFonts w:ascii="Arial" w:hAnsi="Arial" w:cs="Arial"/>
        </w:rPr>
      </w:pPr>
      <w:r w:rsidRPr="00FD364C">
        <w:rPr>
          <w:rFonts w:ascii="Arial" w:hAnsi="Arial" w:cs="Arial"/>
        </w:rPr>
        <w:t xml:space="preserve">Those interested in the application of economies of scale to public health services may want to look at Bernet and Singh, “Economies of Scale in the Production of Public Health Services: An Analysis of Local Health Districts in Florida”, American Journal of Public Health, Supplement 2, 2015, Vol 105, No S2, as well as the work by </w:t>
      </w:r>
      <w:proofErr w:type="spellStart"/>
      <w:r w:rsidRPr="00FD364C">
        <w:rPr>
          <w:rFonts w:ascii="Arial" w:hAnsi="Arial" w:cs="Arial"/>
        </w:rPr>
        <w:t>Santerre</w:t>
      </w:r>
      <w:proofErr w:type="spellEnd"/>
      <w:r w:rsidRPr="00FD364C">
        <w:rPr>
          <w:rFonts w:ascii="Arial" w:hAnsi="Arial" w:cs="Arial"/>
        </w:rPr>
        <w:t xml:space="preserve"> (2009) and Mays and colleagues (2006) referenced above. </w:t>
      </w:r>
    </w:p>
    <w:p w14:paraId="52E03C64" w14:textId="77777777" w:rsidR="00BB0CB1" w:rsidRPr="00FE4530" w:rsidRDefault="00FE4530" w:rsidP="00BB0CB1">
      <w:pPr>
        <w:rPr>
          <w:rFonts w:ascii="Arial" w:hAnsi="Arial" w:cs="Arial"/>
          <w:b/>
          <w:i/>
        </w:rPr>
      </w:pPr>
      <w:r w:rsidRPr="00FD364C">
        <w:rPr>
          <w:rFonts w:ascii="Arial" w:hAnsi="Arial" w:cs="Arial"/>
          <w:b/>
          <w:i/>
        </w:rPr>
        <w:t>Q:</w:t>
      </w:r>
      <w:r w:rsidR="00BB0CB1" w:rsidRPr="00FD364C">
        <w:rPr>
          <w:rFonts w:ascii="Arial" w:hAnsi="Arial" w:cs="Arial"/>
          <w:b/>
          <w:i/>
        </w:rPr>
        <w:t xml:space="preserve"> It seems that many consolidations in Ohio have been between cities and the counties in which they are located.  Has anyone</w:t>
      </w:r>
      <w:r w:rsidR="00BB0CB1" w:rsidRPr="00FE4530">
        <w:rPr>
          <w:rFonts w:ascii="Arial" w:hAnsi="Arial" w:cs="Arial"/>
          <w:b/>
          <w:i/>
        </w:rPr>
        <w:t xml:space="preserve"> looked at the feasibility of one LHD serving </w:t>
      </w:r>
      <w:r w:rsidR="00BB0CB1" w:rsidRPr="00FE4530">
        <w:rPr>
          <w:rFonts w:ascii="Arial" w:hAnsi="Arial" w:cs="Arial"/>
          <w:b/>
          <w:i/>
        </w:rPr>
        <w:lastRenderedPageBreak/>
        <w:t>100,000 people spread across three counties?  It seems that the benefits would be diminished in this scenario.</w:t>
      </w:r>
    </w:p>
    <w:p w14:paraId="78661C41" w14:textId="7C3563C1" w:rsidR="004F7814" w:rsidRPr="00891E1B" w:rsidRDefault="00FE4530" w:rsidP="00BB0CB1">
      <w:pPr>
        <w:rPr>
          <w:rFonts w:ascii="Arial" w:hAnsi="Arial" w:cs="Arial"/>
        </w:rPr>
      </w:pPr>
      <w:r w:rsidRPr="00FD364C">
        <w:rPr>
          <w:rFonts w:ascii="Arial" w:hAnsi="Arial" w:cs="Arial"/>
          <w:b/>
        </w:rPr>
        <w:t>A:</w:t>
      </w:r>
      <w:r w:rsidRPr="00FD364C">
        <w:rPr>
          <w:rFonts w:ascii="Arial" w:hAnsi="Arial" w:cs="Arial"/>
        </w:rPr>
        <w:t xml:space="preserve">  </w:t>
      </w:r>
      <w:r w:rsidR="004F7814" w:rsidRPr="00FD364C">
        <w:rPr>
          <w:rFonts w:ascii="Arial" w:hAnsi="Arial" w:cs="Arial"/>
        </w:rPr>
        <w:t xml:space="preserve">We are not aware of </w:t>
      </w:r>
      <w:r w:rsidR="007A227E" w:rsidRPr="00FD364C">
        <w:rPr>
          <w:rFonts w:ascii="Arial" w:hAnsi="Arial" w:cs="Arial"/>
        </w:rPr>
        <w:t xml:space="preserve">any feasibility studies </w:t>
      </w:r>
      <w:r w:rsidR="004F7814" w:rsidRPr="00FD364C">
        <w:rPr>
          <w:rFonts w:ascii="Arial" w:hAnsi="Arial" w:cs="Arial"/>
        </w:rPr>
        <w:t>on a county-to-county consolidation</w:t>
      </w:r>
      <w:r w:rsidR="00A070E4" w:rsidRPr="00FD364C">
        <w:rPr>
          <w:rFonts w:ascii="Arial" w:hAnsi="Arial" w:cs="Arial"/>
        </w:rPr>
        <w:t xml:space="preserve"> in Ohio</w:t>
      </w:r>
      <w:r w:rsidR="004F7814" w:rsidRPr="00FD364C">
        <w:rPr>
          <w:rFonts w:ascii="Arial" w:hAnsi="Arial" w:cs="Arial"/>
        </w:rPr>
        <w:t xml:space="preserve">. </w:t>
      </w:r>
      <w:r w:rsidR="00A070E4" w:rsidRPr="00FD364C">
        <w:rPr>
          <w:rFonts w:ascii="Arial" w:hAnsi="Arial" w:cs="Arial"/>
        </w:rPr>
        <w:t>However, multi-county health departments</w:t>
      </w:r>
      <w:r w:rsidR="005D6E87" w:rsidRPr="00FD364C">
        <w:rPr>
          <w:rFonts w:ascii="Arial" w:hAnsi="Arial" w:cs="Arial"/>
        </w:rPr>
        <w:t xml:space="preserve"> do exist</w:t>
      </w:r>
      <w:r w:rsidR="00A070E4" w:rsidRPr="00FD364C">
        <w:rPr>
          <w:rFonts w:ascii="Arial" w:hAnsi="Arial" w:cs="Arial"/>
        </w:rPr>
        <w:t xml:space="preserve"> in other states.  </w:t>
      </w:r>
      <w:r w:rsidR="00714E99" w:rsidRPr="00FD364C">
        <w:rPr>
          <w:rFonts w:ascii="Arial" w:hAnsi="Arial" w:cs="Arial"/>
        </w:rPr>
        <w:t>T</w:t>
      </w:r>
      <w:r w:rsidR="00A070E4" w:rsidRPr="00FD364C">
        <w:rPr>
          <w:rFonts w:ascii="Arial" w:hAnsi="Arial" w:cs="Arial"/>
        </w:rPr>
        <w:t>he cost of providing services to dispersed populations across a multi-county jurisdiction</w:t>
      </w:r>
      <w:r w:rsidR="001316D8" w:rsidRPr="00FD364C">
        <w:rPr>
          <w:rFonts w:ascii="Arial" w:hAnsi="Arial" w:cs="Arial"/>
        </w:rPr>
        <w:t xml:space="preserve"> would have to be weighed against potential cost</w:t>
      </w:r>
      <w:r w:rsidR="001316D8">
        <w:rPr>
          <w:rFonts w:ascii="Arial" w:hAnsi="Arial" w:cs="Arial"/>
        </w:rPr>
        <w:t xml:space="preserve"> savings from other aspects of a consolidation. </w:t>
      </w:r>
      <w:r w:rsidR="00714E99">
        <w:rPr>
          <w:rFonts w:ascii="Arial" w:hAnsi="Arial" w:cs="Arial"/>
        </w:rPr>
        <w:t xml:space="preserve">This is </w:t>
      </w:r>
      <w:r w:rsidR="005D6E87">
        <w:rPr>
          <w:rFonts w:ascii="Arial" w:hAnsi="Arial" w:cs="Arial"/>
        </w:rPr>
        <w:t xml:space="preserve">one reason </w:t>
      </w:r>
      <w:r w:rsidR="00714E99">
        <w:rPr>
          <w:rFonts w:ascii="Arial" w:hAnsi="Arial" w:cs="Arial"/>
        </w:rPr>
        <w:t xml:space="preserve">why it is important to </w:t>
      </w:r>
      <w:r w:rsidR="001316D8">
        <w:rPr>
          <w:rFonts w:ascii="Arial" w:hAnsi="Arial" w:cs="Arial"/>
        </w:rPr>
        <w:t>complete a feasibility as</w:t>
      </w:r>
      <w:r w:rsidR="007B67BA">
        <w:rPr>
          <w:rFonts w:ascii="Arial" w:hAnsi="Arial" w:cs="Arial"/>
        </w:rPr>
        <w:t>sessment to assist the decision-making</w:t>
      </w:r>
      <w:r w:rsidR="001316D8">
        <w:rPr>
          <w:rFonts w:ascii="Arial" w:hAnsi="Arial" w:cs="Arial"/>
        </w:rPr>
        <w:t xml:space="preserve"> process related to consolidation.</w:t>
      </w:r>
      <w:r w:rsidR="005D6E87">
        <w:rPr>
          <w:rFonts w:ascii="Arial" w:hAnsi="Arial" w:cs="Arial"/>
        </w:rPr>
        <w:t xml:space="preserve"> </w:t>
      </w:r>
      <w:r w:rsidR="007B67BA">
        <w:rPr>
          <w:rFonts w:ascii="Arial" w:hAnsi="Arial" w:cs="Arial"/>
        </w:rPr>
        <w:t xml:space="preserve">Check </w:t>
      </w:r>
      <w:proofErr w:type="gramStart"/>
      <w:r w:rsidR="007B67BA">
        <w:rPr>
          <w:rFonts w:ascii="Arial" w:hAnsi="Arial" w:cs="Arial"/>
        </w:rPr>
        <w:t>out the Center for Sharing Public Health Services’ website (</w:t>
      </w:r>
      <w:hyperlink r:id="rId4" w:history="1">
        <w:r w:rsidR="007B67BA" w:rsidRPr="007A31FC">
          <w:rPr>
            <w:rStyle w:val="Hyperlink"/>
            <w:rFonts w:ascii="Arial" w:hAnsi="Arial" w:cs="Arial"/>
          </w:rPr>
          <w:t>www.phsharing.org)</w:t>
        </w:r>
      </w:hyperlink>
      <w:r w:rsidR="007B67BA">
        <w:rPr>
          <w:rFonts w:ascii="Arial" w:hAnsi="Arial" w:cs="Arial"/>
        </w:rPr>
        <w:t xml:space="preserve"> for more information on consolidation</w:t>
      </w:r>
      <w:proofErr w:type="gramEnd"/>
      <w:r w:rsidR="005D6E87">
        <w:rPr>
          <w:rFonts w:ascii="Arial" w:hAnsi="Arial" w:cs="Arial"/>
        </w:rPr>
        <w:t xml:space="preserve"> and shared services</w:t>
      </w:r>
      <w:r w:rsidR="007B67BA">
        <w:rPr>
          <w:rFonts w:ascii="Arial" w:hAnsi="Arial" w:cs="Arial"/>
        </w:rPr>
        <w:t xml:space="preserve"> issues being explored in other states. </w:t>
      </w:r>
    </w:p>
    <w:p w14:paraId="0056EEEA" w14:textId="77777777" w:rsidR="00BB0CB1" w:rsidRPr="00FE4530" w:rsidRDefault="00FE4530" w:rsidP="00BB0CB1">
      <w:pPr>
        <w:rPr>
          <w:rFonts w:ascii="Arial" w:hAnsi="Arial" w:cs="Arial"/>
          <w:b/>
          <w:i/>
        </w:rPr>
      </w:pPr>
      <w:r w:rsidRPr="00FE4530">
        <w:rPr>
          <w:rFonts w:ascii="Arial" w:hAnsi="Arial" w:cs="Arial"/>
          <w:b/>
          <w:i/>
        </w:rPr>
        <w:t>Q:</w:t>
      </w:r>
      <w:r w:rsidR="00BB0CB1" w:rsidRPr="00FE4530">
        <w:rPr>
          <w:rFonts w:ascii="Arial" w:hAnsi="Arial" w:cs="Arial"/>
          <w:b/>
          <w:i/>
        </w:rPr>
        <w:t xml:space="preserve"> </w:t>
      </w:r>
      <w:r>
        <w:rPr>
          <w:rFonts w:ascii="Arial" w:hAnsi="Arial" w:cs="Arial"/>
          <w:b/>
          <w:i/>
        </w:rPr>
        <w:t>Are</w:t>
      </w:r>
      <w:r w:rsidR="00BB0CB1" w:rsidRPr="00FE4530">
        <w:rPr>
          <w:rFonts w:ascii="Arial" w:hAnsi="Arial" w:cs="Arial"/>
          <w:b/>
          <w:i/>
        </w:rPr>
        <w:t xml:space="preserve"> there any examples of departments with health levies merging or consolidating with one that does not?</w:t>
      </w:r>
    </w:p>
    <w:p w14:paraId="22183FE1" w14:textId="74769CD0" w:rsidR="00BB0CB1" w:rsidRDefault="00FE4530" w:rsidP="004F7814">
      <w:pPr>
        <w:rPr>
          <w:rFonts w:ascii="Arial" w:hAnsi="Arial" w:cs="Arial"/>
        </w:rPr>
      </w:pPr>
      <w:r w:rsidRPr="00FD364C">
        <w:rPr>
          <w:rFonts w:ascii="Arial" w:hAnsi="Arial" w:cs="Arial"/>
          <w:b/>
        </w:rPr>
        <w:t>A</w:t>
      </w:r>
      <w:r w:rsidR="004F7814" w:rsidRPr="00FD364C">
        <w:rPr>
          <w:rFonts w:ascii="Arial" w:hAnsi="Arial" w:cs="Arial"/>
          <w:b/>
        </w:rPr>
        <w:t>:</w:t>
      </w:r>
      <w:r w:rsidR="004F7814" w:rsidRPr="00FD364C">
        <w:rPr>
          <w:rFonts w:ascii="Arial" w:hAnsi="Arial" w:cs="Arial"/>
        </w:rPr>
        <w:t xml:space="preserve"> </w:t>
      </w:r>
      <w:r w:rsidR="007B67BA" w:rsidRPr="00FD364C">
        <w:rPr>
          <w:rFonts w:ascii="Arial" w:hAnsi="Arial" w:cs="Arial"/>
        </w:rPr>
        <w:t>One</w:t>
      </w:r>
      <w:r w:rsidR="007B67BA">
        <w:rPr>
          <w:rFonts w:ascii="Arial" w:hAnsi="Arial" w:cs="Arial"/>
        </w:rPr>
        <w:t xml:space="preserve"> example</w:t>
      </w:r>
      <w:r w:rsidR="005D6E87">
        <w:rPr>
          <w:rFonts w:ascii="Arial" w:hAnsi="Arial" w:cs="Arial"/>
        </w:rPr>
        <w:t xml:space="preserve"> can be drawn</w:t>
      </w:r>
      <w:r w:rsidR="007B67BA">
        <w:rPr>
          <w:rFonts w:ascii="Arial" w:hAnsi="Arial" w:cs="Arial"/>
        </w:rPr>
        <w:t xml:space="preserve"> from our experience</w:t>
      </w:r>
      <w:r w:rsidR="005D6E87">
        <w:rPr>
          <w:rFonts w:ascii="Arial" w:hAnsi="Arial" w:cs="Arial"/>
        </w:rPr>
        <w:t xml:space="preserve"> with</w:t>
      </w:r>
      <w:r w:rsidR="007B67BA">
        <w:rPr>
          <w:rFonts w:ascii="Arial" w:hAnsi="Arial" w:cs="Arial"/>
        </w:rPr>
        <w:t xml:space="preserve"> the City of Ravenna – Portage County Health District consolidation that was finalized a couple of years ago. The city health department did not have a levy to support its operations, while the county had an existing levy in place, and during consolidation discussions, had an increase to that levy approved by the voters of the</w:t>
      </w:r>
      <w:r w:rsidR="009129B8">
        <w:rPr>
          <w:rFonts w:ascii="Arial" w:hAnsi="Arial" w:cs="Arial"/>
        </w:rPr>
        <w:t xml:space="preserve"> county</w:t>
      </w:r>
      <w:r w:rsidR="007B67BA">
        <w:rPr>
          <w:rFonts w:ascii="Arial" w:hAnsi="Arial" w:cs="Arial"/>
        </w:rPr>
        <w:t xml:space="preserve"> health district. The fact that Ravenna residents did not vote for the levy increase was a topic of discussion during the negotiations between the two jurisdictions. Ultimately, the </w:t>
      </w:r>
      <w:r w:rsidR="00B4049B">
        <w:rPr>
          <w:rFonts w:ascii="Arial" w:hAnsi="Arial" w:cs="Arial"/>
        </w:rPr>
        <w:t>city</w:t>
      </w:r>
      <w:r w:rsidR="00714E99">
        <w:rPr>
          <w:rFonts w:ascii="Arial" w:hAnsi="Arial" w:cs="Arial"/>
        </w:rPr>
        <w:t xml:space="preserve"> decided</w:t>
      </w:r>
      <w:r w:rsidR="00B4049B">
        <w:rPr>
          <w:rFonts w:ascii="Arial" w:hAnsi="Arial" w:cs="Arial"/>
        </w:rPr>
        <w:t xml:space="preserve"> to move forward with the consolidation in order to achieve savings to its general fund and to receive services from the county health department, which had greater capacity than </w:t>
      </w:r>
      <w:r w:rsidR="008208C4">
        <w:rPr>
          <w:rFonts w:ascii="Arial" w:hAnsi="Arial" w:cs="Arial"/>
        </w:rPr>
        <w:t>Ravenna’s</w:t>
      </w:r>
      <w:r w:rsidR="00B4049B">
        <w:rPr>
          <w:rFonts w:ascii="Arial" w:hAnsi="Arial" w:cs="Arial"/>
        </w:rPr>
        <w:t xml:space="preserve"> small city department. Ravenna residents, now as members of the county health district, will participate in </w:t>
      </w:r>
      <w:r w:rsidR="008208C4">
        <w:rPr>
          <w:rFonts w:ascii="Arial" w:hAnsi="Arial" w:cs="Arial"/>
        </w:rPr>
        <w:t>future</w:t>
      </w:r>
      <w:r w:rsidR="00B4049B">
        <w:rPr>
          <w:rFonts w:ascii="Arial" w:hAnsi="Arial" w:cs="Arial"/>
        </w:rPr>
        <w:t xml:space="preserve"> vote</w:t>
      </w:r>
      <w:r w:rsidR="008208C4">
        <w:rPr>
          <w:rFonts w:ascii="Arial" w:hAnsi="Arial" w:cs="Arial"/>
        </w:rPr>
        <w:t>s</w:t>
      </w:r>
      <w:r w:rsidR="00B4049B">
        <w:rPr>
          <w:rFonts w:ascii="Arial" w:hAnsi="Arial" w:cs="Arial"/>
        </w:rPr>
        <w:t xml:space="preserve"> to reauthorize the levy. </w:t>
      </w:r>
    </w:p>
    <w:p w14:paraId="752FEF81" w14:textId="2D0FEC31" w:rsidR="002F4136" w:rsidRDefault="00B4049B" w:rsidP="004F7814">
      <w:pPr>
        <w:rPr>
          <w:rFonts w:ascii="Arial" w:hAnsi="Arial" w:cs="Arial"/>
        </w:rPr>
      </w:pPr>
      <w:r>
        <w:rPr>
          <w:rFonts w:ascii="Arial" w:hAnsi="Arial" w:cs="Arial"/>
        </w:rPr>
        <w:t>It is also important to note that the method of consolidation is relevant to the issue of health levies existing in jurisdictions considering consolidation. Ravenna and Portage County, in the end, sought a full union of their health districts. However, if they chose to implement a contractual consolidation (3709.08), the city residents would not be subject to the Portage County Health District’s property tax levy. Instead, the City would be obligated to pay for the services received from the county health department through other means, likely the city’s general fund. In th</w:t>
      </w:r>
      <w:r w:rsidR="008208C4">
        <w:rPr>
          <w:rFonts w:ascii="Arial" w:hAnsi="Arial" w:cs="Arial"/>
        </w:rPr>
        <w:t>is scenario</w:t>
      </w:r>
      <w:r>
        <w:rPr>
          <w:rFonts w:ascii="Arial" w:hAnsi="Arial" w:cs="Arial"/>
        </w:rPr>
        <w:t>, Ravenna taxpayers end up funding the public health services received; however,</w:t>
      </w:r>
      <w:r w:rsidR="00A35B02">
        <w:rPr>
          <w:rFonts w:ascii="Arial" w:hAnsi="Arial" w:cs="Arial"/>
        </w:rPr>
        <w:t xml:space="preserve"> the means through which they pay changes depend</w:t>
      </w:r>
      <w:r w:rsidR="009129B8">
        <w:rPr>
          <w:rFonts w:ascii="Arial" w:hAnsi="Arial" w:cs="Arial"/>
        </w:rPr>
        <w:t>ing</w:t>
      </w:r>
      <w:r w:rsidR="00A35B02">
        <w:rPr>
          <w:rFonts w:ascii="Arial" w:hAnsi="Arial" w:cs="Arial"/>
        </w:rPr>
        <w:t xml:space="preserve"> on whether a full union of the health jurisdictions occurs or if there is a contractual consolidation between two existing health districts.  </w:t>
      </w:r>
      <w:r>
        <w:rPr>
          <w:rFonts w:ascii="Arial" w:hAnsi="Arial" w:cs="Arial"/>
        </w:rPr>
        <w:t xml:space="preserve"> </w:t>
      </w:r>
    </w:p>
    <w:p w14:paraId="56E4EADE" w14:textId="7F68B36C" w:rsidR="000B16AD" w:rsidRPr="00891E1B" w:rsidRDefault="000B16AD" w:rsidP="004F7814">
      <w:pPr>
        <w:rPr>
          <w:rFonts w:ascii="Arial" w:hAnsi="Arial" w:cs="Arial"/>
        </w:rPr>
      </w:pPr>
      <w:r>
        <w:rPr>
          <w:rFonts w:ascii="Arial" w:hAnsi="Arial" w:cs="Arial"/>
        </w:rPr>
        <w:t>3-31-2017</w:t>
      </w:r>
      <w:bookmarkEnd w:id="0"/>
    </w:p>
    <w:sectPr w:rsidR="000B16AD" w:rsidRPr="0089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1"/>
    <w:rsid w:val="0004521D"/>
    <w:rsid w:val="000B16AD"/>
    <w:rsid w:val="001316D8"/>
    <w:rsid w:val="002338E9"/>
    <w:rsid w:val="002A2B68"/>
    <w:rsid w:val="002D7302"/>
    <w:rsid w:val="002F31C0"/>
    <w:rsid w:val="002F4136"/>
    <w:rsid w:val="004F7814"/>
    <w:rsid w:val="00515170"/>
    <w:rsid w:val="005D6E87"/>
    <w:rsid w:val="006F2B31"/>
    <w:rsid w:val="00714E99"/>
    <w:rsid w:val="007A227E"/>
    <w:rsid w:val="007A3A4C"/>
    <w:rsid w:val="007B67BA"/>
    <w:rsid w:val="00805F59"/>
    <w:rsid w:val="008208C4"/>
    <w:rsid w:val="00891E1B"/>
    <w:rsid w:val="009129B8"/>
    <w:rsid w:val="00932911"/>
    <w:rsid w:val="009A1EB5"/>
    <w:rsid w:val="009C69A0"/>
    <w:rsid w:val="009E3A09"/>
    <w:rsid w:val="00A070E4"/>
    <w:rsid w:val="00A35B02"/>
    <w:rsid w:val="00B4049B"/>
    <w:rsid w:val="00B50A56"/>
    <w:rsid w:val="00B554A8"/>
    <w:rsid w:val="00BB0CB1"/>
    <w:rsid w:val="00CF63BB"/>
    <w:rsid w:val="00D52CC2"/>
    <w:rsid w:val="00FA4197"/>
    <w:rsid w:val="00FD364C"/>
    <w:rsid w:val="00FD73AD"/>
    <w:rsid w:val="00FE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BF71"/>
  <w15:docId w15:val="{63598DC4-2F09-4591-ABC3-759F13FD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7BA"/>
    <w:rPr>
      <w:color w:val="0563C1" w:themeColor="hyperlink"/>
      <w:u w:val="single"/>
    </w:rPr>
  </w:style>
  <w:style w:type="paragraph" w:styleId="BalloonText">
    <w:name w:val="Balloon Text"/>
    <w:basedOn w:val="Normal"/>
    <w:link w:val="BalloonTextChar"/>
    <w:uiPriority w:val="99"/>
    <w:semiHidden/>
    <w:unhideWhenUsed/>
    <w:rsid w:val="009A1E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E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sh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Fitzgibbons</dc:creator>
  <cp:lastModifiedBy>Pearsol, Joanne</cp:lastModifiedBy>
  <cp:revision>3</cp:revision>
  <dcterms:created xsi:type="dcterms:W3CDTF">2017-03-31T21:16:00Z</dcterms:created>
  <dcterms:modified xsi:type="dcterms:W3CDTF">2017-03-31T21:26:00Z</dcterms:modified>
</cp:coreProperties>
</file>