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1F" w:rsidRPr="002517D3" w:rsidRDefault="00FE35D5" w:rsidP="002517D3">
      <w:pPr>
        <w:spacing w:after="0" w:line="240" w:lineRule="auto"/>
        <w:jc w:val="both"/>
        <w:rPr>
          <w:rFonts w:cs="Arial"/>
          <w:b/>
          <w:color w:val="000000"/>
          <w:sz w:val="28"/>
          <w:szCs w:val="28"/>
        </w:rPr>
      </w:pPr>
      <w:r w:rsidRPr="00FE35D5">
        <w:rPr>
          <w:rFonts w:cs="Arial"/>
          <w:b/>
          <w:color w:val="000000"/>
          <w:sz w:val="28"/>
          <w:szCs w:val="28"/>
        </w:rPr>
        <w:t>Attenuation of vincristine-induced peripheral neuropathy through targeting OATP1B2 in mice</w:t>
      </w:r>
      <w:r w:rsidR="000446C4">
        <w:rPr>
          <w:rFonts w:cs="Arial"/>
          <w:b/>
          <w:color w:val="000000"/>
          <w:sz w:val="28"/>
          <w:szCs w:val="28"/>
        </w:rPr>
        <w:t xml:space="preserve"> </w:t>
      </w:r>
    </w:p>
    <w:p w:rsidR="008B2E69" w:rsidRPr="0092161F" w:rsidRDefault="008B2E69" w:rsidP="007F7685">
      <w:pPr>
        <w:spacing w:after="0" w:line="240" w:lineRule="auto"/>
        <w:rPr>
          <w:rFonts w:ascii="Arial" w:hAnsi="Arial" w:cs="Arial"/>
          <w:b/>
        </w:rPr>
      </w:pPr>
    </w:p>
    <w:p w:rsidR="00702430" w:rsidRPr="00ED1880" w:rsidRDefault="003F6002" w:rsidP="00702430">
      <w:pPr>
        <w:spacing w:after="0" w:line="240" w:lineRule="auto"/>
        <w:rPr>
          <w:rFonts w:cs="Arial"/>
          <w:i/>
          <w:sz w:val="24"/>
          <w:szCs w:val="24"/>
        </w:rPr>
      </w:pPr>
      <w:r w:rsidRPr="003F6002">
        <w:rPr>
          <w:rFonts w:cs="Arial"/>
          <w:i/>
          <w:sz w:val="24"/>
          <w:szCs w:val="24"/>
          <w:u w:val="single"/>
        </w:rPr>
        <w:t>Yang Li</w:t>
      </w:r>
      <w:r w:rsidRPr="003F6002">
        <w:rPr>
          <w:rFonts w:cs="Arial"/>
          <w:i/>
          <w:sz w:val="24"/>
          <w:szCs w:val="24"/>
        </w:rPr>
        <w:t>, Alix F. Leblanc, Alice A. Gibson, Yan Jin, Kevin M. Huang, Muhammad Erfan Uddin, Mingqing Chen, Alex Sparreboom, and Shuiying Hu</w:t>
      </w:r>
    </w:p>
    <w:p w:rsidR="00702430" w:rsidRPr="00702430" w:rsidRDefault="00702430" w:rsidP="00702430">
      <w:pPr>
        <w:spacing w:after="0" w:line="240" w:lineRule="auto"/>
        <w:rPr>
          <w:rFonts w:ascii="Arial" w:hAnsi="Arial" w:cs="Arial"/>
        </w:rPr>
      </w:pPr>
    </w:p>
    <w:p w:rsidR="00702430" w:rsidRPr="002517D3" w:rsidRDefault="00702430" w:rsidP="00702430">
      <w:pPr>
        <w:spacing w:after="0" w:line="240" w:lineRule="auto"/>
        <w:rPr>
          <w:rFonts w:cs="Arial"/>
          <w:i/>
          <w:sz w:val="24"/>
          <w:szCs w:val="24"/>
        </w:rPr>
      </w:pPr>
      <w:r w:rsidRPr="002517D3">
        <w:rPr>
          <w:rFonts w:cs="Arial"/>
          <w:i/>
          <w:sz w:val="24"/>
          <w:szCs w:val="24"/>
        </w:rPr>
        <w:t>Division of Pharmaceutics</w:t>
      </w:r>
      <w:r w:rsidR="00761A2B">
        <w:rPr>
          <w:rFonts w:cs="Arial"/>
          <w:i/>
          <w:sz w:val="24"/>
          <w:szCs w:val="24"/>
        </w:rPr>
        <w:t xml:space="preserve"> </w:t>
      </w:r>
      <w:r w:rsidR="00761A2B" w:rsidRPr="00761A2B">
        <w:rPr>
          <w:rFonts w:cs="Arial"/>
          <w:i/>
          <w:sz w:val="24"/>
          <w:szCs w:val="24"/>
        </w:rPr>
        <w:t>and Pharmacol</w:t>
      </w:r>
      <w:r w:rsidR="00761A2B">
        <w:rPr>
          <w:rFonts w:cs="Arial"/>
          <w:i/>
          <w:sz w:val="24"/>
          <w:szCs w:val="24"/>
        </w:rPr>
        <w:t>o</w:t>
      </w:r>
      <w:r w:rsidR="00761A2B" w:rsidRPr="00761A2B">
        <w:rPr>
          <w:rFonts w:cs="Arial"/>
          <w:i/>
          <w:sz w:val="24"/>
          <w:szCs w:val="24"/>
        </w:rPr>
        <w:t>gy</w:t>
      </w:r>
      <w:r w:rsidRPr="002517D3">
        <w:rPr>
          <w:rFonts w:cs="Arial"/>
          <w:i/>
          <w:sz w:val="24"/>
          <w:szCs w:val="24"/>
        </w:rPr>
        <w:t xml:space="preserve">, College of Pharmacy, </w:t>
      </w:r>
      <w:proofErr w:type="gramStart"/>
      <w:r w:rsidRPr="002517D3">
        <w:rPr>
          <w:rFonts w:cs="Arial"/>
          <w:i/>
          <w:sz w:val="24"/>
          <w:szCs w:val="24"/>
        </w:rPr>
        <w:t>The</w:t>
      </w:r>
      <w:proofErr w:type="gramEnd"/>
      <w:r w:rsidRPr="002517D3">
        <w:rPr>
          <w:rFonts w:cs="Arial"/>
          <w:i/>
          <w:sz w:val="24"/>
          <w:szCs w:val="24"/>
        </w:rPr>
        <w:t xml:space="preserve"> Ohio State University, Columbus, OH, USA</w:t>
      </w:r>
    </w:p>
    <w:p w:rsidR="007F7685" w:rsidRDefault="007F7685" w:rsidP="007F7685">
      <w:pPr>
        <w:spacing w:after="0" w:line="240" w:lineRule="auto"/>
        <w:rPr>
          <w:rFonts w:ascii="Arial" w:hAnsi="Arial" w:cs="Arial"/>
        </w:rPr>
      </w:pPr>
    </w:p>
    <w:p w:rsidR="002517D3" w:rsidRPr="003A1345" w:rsidRDefault="002517D3" w:rsidP="002517D3">
      <w:pPr>
        <w:spacing w:after="0" w:line="240" w:lineRule="auto"/>
        <w:jc w:val="both"/>
        <w:rPr>
          <w:rFonts w:cs="Arial"/>
          <w:b/>
          <w:sz w:val="24"/>
          <w:szCs w:val="24"/>
        </w:rPr>
      </w:pPr>
      <w:r w:rsidRPr="003A1345">
        <w:rPr>
          <w:rFonts w:cs="Arial"/>
          <w:b/>
          <w:sz w:val="24"/>
          <w:szCs w:val="24"/>
        </w:rPr>
        <w:t>BACKGROUND</w:t>
      </w:r>
    </w:p>
    <w:p w:rsidR="00FE35D5" w:rsidRDefault="00C1172E" w:rsidP="002517D3">
      <w:pPr>
        <w:spacing w:after="0" w:line="240" w:lineRule="auto"/>
        <w:jc w:val="both"/>
        <w:rPr>
          <w:rFonts w:cs="Arial"/>
          <w:sz w:val="24"/>
          <w:szCs w:val="24"/>
        </w:rPr>
      </w:pPr>
      <w:r w:rsidRPr="00C1172E">
        <w:rPr>
          <w:rFonts w:cs="Arial"/>
          <w:sz w:val="24"/>
          <w:szCs w:val="24"/>
        </w:rPr>
        <w:t>Vincristine</w:t>
      </w:r>
      <w:r w:rsidR="00D932FA">
        <w:rPr>
          <w:rFonts w:cs="Arial"/>
          <w:sz w:val="24"/>
          <w:szCs w:val="24"/>
        </w:rPr>
        <w:t xml:space="preserve"> (VCR)</w:t>
      </w:r>
      <w:r w:rsidRPr="00C1172E">
        <w:rPr>
          <w:rFonts w:cs="Arial"/>
          <w:sz w:val="24"/>
          <w:szCs w:val="24"/>
        </w:rPr>
        <w:t xml:space="preserve"> is a widely used chemotherapeutic drug fo</w:t>
      </w:r>
      <w:r>
        <w:rPr>
          <w:rFonts w:cs="Arial"/>
          <w:sz w:val="24"/>
          <w:szCs w:val="24"/>
        </w:rPr>
        <w:t xml:space="preserve">r the treatment of many cancers, </w:t>
      </w:r>
      <w:r w:rsidRPr="00C1172E">
        <w:rPr>
          <w:rFonts w:cs="Arial"/>
          <w:sz w:val="24"/>
          <w:szCs w:val="24"/>
        </w:rPr>
        <w:t>but its clinical use is associated with a dose-limiting peripheral neurotoxicity.</w:t>
      </w:r>
      <w:r>
        <w:rPr>
          <w:rFonts w:cs="Arial"/>
          <w:sz w:val="24"/>
          <w:szCs w:val="24"/>
        </w:rPr>
        <w:t xml:space="preserve"> </w:t>
      </w:r>
      <w:r w:rsidR="00FE35D5" w:rsidRPr="00FE35D5">
        <w:rPr>
          <w:rFonts w:cs="Arial"/>
          <w:sz w:val="24"/>
          <w:szCs w:val="24"/>
        </w:rPr>
        <w:t>Although the mechanistic basis of vincristine-induced peripheral neuropathy</w:t>
      </w:r>
      <w:r>
        <w:rPr>
          <w:rFonts w:cs="Arial"/>
          <w:sz w:val="24"/>
          <w:szCs w:val="24"/>
        </w:rPr>
        <w:t xml:space="preserve"> (VIPN)</w:t>
      </w:r>
      <w:r w:rsidR="00FE35D5" w:rsidRPr="00FE35D5">
        <w:rPr>
          <w:rFonts w:cs="Arial"/>
          <w:sz w:val="24"/>
          <w:szCs w:val="24"/>
        </w:rPr>
        <w:t xml:space="preserve"> remains largely unknown, prior investigations have demonstrated that a great exposure of peripheral sensory nerves present in dorsal root ganglia (DRG) to </w:t>
      </w:r>
      <w:r w:rsidR="00D932FA">
        <w:rPr>
          <w:rFonts w:cs="Arial"/>
          <w:sz w:val="24"/>
          <w:szCs w:val="24"/>
        </w:rPr>
        <w:t>VCR</w:t>
      </w:r>
      <w:r w:rsidR="00FE35D5" w:rsidRPr="00FE35D5">
        <w:rPr>
          <w:rFonts w:cs="Arial"/>
          <w:sz w:val="24"/>
          <w:szCs w:val="24"/>
        </w:rPr>
        <w:t xml:space="preserve"> which leading to the initiation of neurotoxicity</w:t>
      </w:r>
      <w:r w:rsidR="00FE35D5">
        <w:rPr>
          <w:rFonts w:cs="Arial"/>
          <w:sz w:val="24"/>
          <w:szCs w:val="24"/>
        </w:rPr>
        <w:t xml:space="preserve">. We </w:t>
      </w:r>
      <w:r w:rsidR="00FE35D5" w:rsidRPr="00FE35D5">
        <w:rPr>
          <w:rFonts w:cs="Arial"/>
          <w:sz w:val="24"/>
          <w:szCs w:val="24"/>
        </w:rPr>
        <w:t xml:space="preserve">hypothesis that identification of a transporter-mediated mechanism of neuronal cellular uptake of </w:t>
      </w:r>
      <w:r w:rsidR="00D932FA">
        <w:rPr>
          <w:rFonts w:cs="Arial"/>
          <w:sz w:val="24"/>
          <w:szCs w:val="24"/>
        </w:rPr>
        <w:t>VCR</w:t>
      </w:r>
      <w:r w:rsidR="00FE35D5" w:rsidRPr="00FE35D5">
        <w:rPr>
          <w:rFonts w:cs="Arial"/>
          <w:sz w:val="24"/>
          <w:szCs w:val="24"/>
        </w:rPr>
        <w:t xml:space="preserve"> in DRG may shed light on the etiology of neurotoxicity and may lead to the development of novel therapeutic interventions aimed at targeting this initiating mechanism to limit exposure of the DRG to </w:t>
      </w:r>
      <w:r w:rsidR="00D932FA">
        <w:rPr>
          <w:rFonts w:cs="Arial"/>
          <w:sz w:val="24"/>
          <w:szCs w:val="24"/>
        </w:rPr>
        <w:t>VCR</w:t>
      </w:r>
      <w:r w:rsidR="00FE35D5" w:rsidRPr="00FE35D5">
        <w:rPr>
          <w:rFonts w:cs="Arial"/>
          <w:sz w:val="24"/>
          <w:szCs w:val="24"/>
        </w:rPr>
        <w:t>.</w:t>
      </w:r>
    </w:p>
    <w:p w:rsidR="002517D3" w:rsidRPr="003A1345" w:rsidRDefault="002517D3" w:rsidP="002517D3">
      <w:pPr>
        <w:spacing w:after="0" w:line="240" w:lineRule="auto"/>
        <w:jc w:val="both"/>
        <w:rPr>
          <w:rFonts w:cs="Arial"/>
          <w:b/>
          <w:sz w:val="24"/>
          <w:szCs w:val="24"/>
        </w:rPr>
      </w:pPr>
      <w:r w:rsidRPr="003A1345">
        <w:rPr>
          <w:rFonts w:cs="Arial"/>
          <w:b/>
          <w:sz w:val="24"/>
          <w:szCs w:val="24"/>
        </w:rPr>
        <w:t>METHODS</w:t>
      </w:r>
    </w:p>
    <w:p w:rsidR="002517D3" w:rsidRPr="00ED1880" w:rsidRDefault="00D932FA" w:rsidP="002517D3">
      <w:pPr>
        <w:spacing w:after="0" w:line="240" w:lineRule="auto"/>
        <w:jc w:val="both"/>
        <w:rPr>
          <w:rFonts w:cs="Arial"/>
          <w:sz w:val="24"/>
          <w:szCs w:val="24"/>
        </w:rPr>
      </w:pPr>
      <w:r>
        <w:rPr>
          <w:rFonts w:cs="Arial"/>
          <w:sz w:val="24"/>
          <w:szCs w:val="24"/>
        </w:rPr>
        <w:t>VCR</w:t>
      </w:r>
      <w:r w:rsidR="00A973CB">
        <w:rPr>
          <w:rFonts w:cs="Arial"/>
          <w:sz w:val="24"/>
          <w:szCs w:val="24"/>
        </w:rPr>
        <w:t xml:space="preserve"> </w:t>
      </w:r>
      <w:r w:rsidR="00A973CB" w:rsidRPr="00A973CB">
        <w:rPr>
          <w:rFonts w:cs="Arial"/>
          <w:sz w:val="24"/>
          <w:szCs w:val="24"/>
        </w:rPr>
        <w:t>uptake profile</w:t>
      </w:r>
      <w:r w:rsidR="00A973CB">
        <w:rPr>
          <w:rFonts w:cs="Arial"/>
          <w:sz w:val="24"/>
          <w:szCs w:val="24"/>
        </w:rPr>
        <w:t xml:space="preserve"> was performed on HEK293 cells </w:t>
      </w:r>
      <w:r w:rsidR="00A973CB" w:rsidRPr="00A973CB">
        <w:rPr>
          <w:rFonts w:cs="Arial"/>
          <w:sz w:val="24"/>
          <w:szCs w:val="24"/>
        </w:rPr>
        <w:t xml:space="preserve">transfected with </w:t>
      </w:r>
      <w:r>
        <w:rPr>
          <w:rFonts w:cs="Arial"/>
          <w:sz w:val="24"/>
          <w:szCs w:val="24"/>
        </w:rPr>
        <w:t>h</w:t>
      </w:r>
      <w:r w:rsidR="00A973CB" w:rsidRPr="00A973CB">
        <w:rPr>
          <w:rFonts w:cs="Arial"/>
          <w:sz w:val="24"/>
          <w:szCs w:val="24"/>
        </w:rPr>
        <w:t xml:space="preserve">OATP1B1, </w:t>
      </w:r>
      <w:r>
        <w:rPr>
          <w:rFonts w:cs="Arial"/>
          <w:sz w:val="24"/>
          <w:szCs w:val="24"/>
        </w:rPr>
        <w:t>h</w:t>
      </w:r>
      <w:r w:rsidR="00A973CB" w:rsidRPr="00A973CB">
        <w:rPr>
          <w:rFonts w:cs="Arial"/>
          <w:sz w:val="24"/>
          <w:szCs w:val="24"/>
        </w:rPr>
        <w:t xml:space="preserve">OATP1B3, or </w:t>
      </w:r>
      <w:r>
        <w:rPr>
          <w:rFonts w:cs="Arial"/>
          <w:sz w:val="24"/>
          <w:szCs w:val="24"/>
        </w:rPr>
        <w:t>m</w:t>
      </w:r>
      <w:r w:rsidR="00A973CB" w:rsidRPr="00A973CB">
        <w:rPr>
          <w:rFonts w:cs="Arial"/>
          <w:sz w:val="24"/>
          <w:szCs w:val="24"/>
        </w:rPr>
        <w:t>OATP1B2</w:t>
      </w:r>
      <w:r>
        <w:rPr>
          <w:rFonts w:cs="Arial"/>
          <w:sz w:val="24"/>
          <w:szCs w:val="24"/>
        </w:rPr>
        <w:t xml:space="preserve">. Gene expression OATP1B1 and OATP1B3 was measured on </w:t>
      </w:r>
      <w:r w:rsidRPr="00D932FA">
        <w:rPr>
          <w:rFonts w:cs="Arial"/>
          <w:sz w:val="24"/>
          <w:szCs w:val="24"/>
        </w:rPr>
        <w:t>Human DRG total RNA</w:t>
      </w:r>
      <w:r>
        <w:rPr>
          <w:rFonts w:cs="Arial"/>
          <w:sz w:val="24"/>
          <w:szCs w:val="24"/>
        </w:rPr>
        <w:t xml:space="preserve"> using </w:t>
      </w:r>
      <w:proofErr w:type="spellStart"/>
      <w:r>
        <w:rPr>
          <w:rFonts w:cs="Arial"/>
          <w:sz w:val="24"/>
          <w:szCs w:val="24"/>
        </w:rPr>
        <w:t>rt</w:t>
      </w:r>
      <w:proofErr w:type="spellEnd"/>
      <w:r>
        <w:rPr>
          <w:rFonts w:cs="Arial"/>
          <w:sz w:val="24"/>
          <w:szCs w:val="24"/>
        </w:rPr>
        <w:t>-PCR. VIPN</w:t>
      </w:r>
      <w:r w:rsidR="00421118">
        <w:rPr>
          <w:rFonts w:cs="Arial"/>
          <w:sz w:val="24"/>
          <w:szCs w:val="24"/>
        </w:rPr>
        <w:t xml:space="preserve"> was </w:t>
      </w:r>
      <w:r w:rsidR="006852D2" w:rsidRPr="006852D2">
        <w:rPr>
          <w:rFonts w:cs="Arial"/>
          <w:sz w:val="24"/>
          <w:szCs w:val="24"/>
        </w:rPr>
        <w:t>measured by the Von Frey Hair test</w:t>
      </w:r>
      <w:r w:rsidR="00A973CB">
        <w:rPr>
          <w:rFonts w:cs="Arial"/>
          <w:sz w:val="24"/>
          <w:szCs w:val="24"/>
        </w:rPr>
        <w:t xml:space="preserve">, </w:t>
      </w:r>
      <w:r w:rsidR="00A973CB" w:rsidRPr="00A973CB">
        <w:rPr>
          <w:rFonts w:cs="Arial"/>
          <w:sz w:val="24"/>
          <w:szCs w:val="24"/>
        </w:rPr>
        <w:lastRenderedPageBreak/>
        <w:t>Thermal hyperalgesia</w:t>
      </w:r>
      <w:r w:rsidR="00A973CB">
        <w:rPr>
          <w:rFonts w:cs="Arial"/>
          <w:sz w:val="24"/>
          <w:szCs w:val="24"/>
        </w:rPr>
        <w:t xml:space="preserve"> test, and </w:t>
      </w:r>
      <w:r w:rsidRPr="003F6002">
        <w:rPr>
          <w:rFonts w:cs="Arial"/>
          <w:sz w:val="24"/>
          <w:szCs w:val="24"/>
        </w:rPr>
        <w:t>electrophysiology</w:t>
      </w:r>
      <w:r>
        <w:rPr>
          <w:rFonts w:cs="Arial"/>
          <w:sz w:val="24"/>
          <w:szCs w:val="24"/>
        </w:rPr>
        <w:t xml:space="preserve"> test </w:t>
      </w:r>
      <w:r w:rsidR="00A973CB">
        <w:rPr>
          <w:rFonts w:cs="Arial"/>
          <w:sz w:val="24"/>
          <w:szCs w:val="24"/>
        </w:rPr>
        <w:t>on wild-type and OATP1B2 deficient mice</w:t>
      </w:r>
      <w:r w:rsidRPr="00D932FA">
        <w:rPr>
          <w:rFonts w:cs="Arial"/>
          <w:sz w:val="24"/>
          <w:szCs w:val="24"/>
        </w:rPr>
        <w:t xml:space="preserve"> </w:t>
      </w:r>
      <w:r w:rsidRPr="003F6002">
        <w:rPr>
          <w:rFonts w:cs="Arial"/>
          <w:sz w:val="24"/>
          <w:szCs w:val="24"/>
        </w:rPr>
        <w:t>before and after</w:t>
      </w:r>
      <w:r>
        <w:rPr>
          <w:rFonts w:cs="Arial"/>
          <w:sz w:val="24"/>
          <w:szCs w:val="24"/>
        </w:rPr>
        <w:t xml:space="preserve"> acute and/or chronic</w:t>
      </w:r>
      <w:r w:rsidRPr="003F6002">
        <w:rPr>
          <w:rFonts w:cs="Arial"/>
          <w:sz w:val="24"/>
          <w:szCs w:val="24"/>
        </w:rPr>
        <w:t xml:space="preserve"> treatment</w:t>
      </w:r>
      <w:r w:rsidRPr="00ED1880">
        <w:rPr>
          <w:rFonts w:cs="Arial"/>
          <w:sz w:val="24"/>
          <w:szCs w:val="24"/>
        </w:rPr>
        <w:t xml:space="preserve"> </w:t>
      </w:r>
      <w:r>
        <w:rPr>
          <w:rFonts w:cs="Arial"/>
          <w:sz w:val="24"/>
          <w:szCs w:val="24"/>
        </w:rPr>
        <w:t>of VCR</w:t>
      </w:r>
      <w:r w:rsidR="00A973CB">
        <w:rPr>
          <w:rFonts w:cs="Arial"/>
          <w:sz w:val="24"/>
          <w:szCs w:val="24"/>
        </w:rPr>
        <w:t>.</w:t>
      </w:r>
      <w:r>
        <w:rPr>
          <w:rFonts w:cs="Arial"/>
          <w:sz w:val="24"/>
          <w:szCs w:val="24"/>
        </w:rPr>
        <w:t xml:space="preserve"> S</w:t>
      </w:r>
      <w:r w:rsidR="00ED1880" w:rsidRPr="00ED1880">
        <w:rPr>
          <w:rFonts w:cs="Arial"/>
          <w:sz w:val="24"/>
          <w:szCs w:val="24"/>
        </w:rPr>
        <w:t>ys</w:t>
      </w:r>
      <w:r>
        <w:rPr>
          <w:rFonts w:cs="Arial"/>
          <w:sz w:val="24"/>
          <w:szCs w:val="24"/>
        </w:rPr>
        <w:t>temic and tissue exposure of VCR</w:t>
      </w:r>
      <w:r w:rsidR="008715E7">
        <w:rPr>
          <w:rFonts w:cs="Arial"/>
          <w:sz w:val="24"/>
          <w:szCs w:val="24"/>
        </w:rPr>
        <w:t xml:space="preserve"> in </w:t>
      </w:r>
      <w:r>
        <w:rPr>
          <w:rFonts w:cs="Arial"/>
          <w:sz w:val="24"/>
          <w:szCs w:val="24"/>
        </w:rPr>
        <w:t xml:space="preserve">wild-type and </w:t>
      </w:r>
      <w:r w:rsidR="008715E7">
        <w:rPr>
          <w:rFonts w:cs="Arial"/>
          <w:sz w:val="24"/>
          <w:szCs w:val="24"/>
        </w:rPr>
        <w:t>OATP1B2 deficient</w:t>
      </w:r>
      <w:r>
        <w:rPr>
          <w:rFonts w:cs="Arial"/>
          <w:sz w:val="24"/>
          <w:szCs w:val="24"/>
        </w:rPr>
        <w:t xml:space="preserve"> </w:t>
      </w:r>
      <w:r w:rsidR="00ED1880" w:rsidRPr="00ED1880">
        <w:rPr>
          <w:rFonts w:cs="Arial"/>
          <w:sz w:val="24"/>
          <w:szCs w:val="24"/>
        </w:rPr>
        <w:t>mice</w:t>
      </w:r>
      <w:r w:rsidR="008715E7">
        <w:rPr>
          <w:rFonts w:cs="Arial"/>
          <w:sz w:val="24"/>
          <w:szCs w:val="24"/>
        </w:rPr>
        <w:t xml:space="preserve"> were </w:t>
      </w:r>
      <w:r w:rsidR="008715E7" w:rsidRPr="008715E7">
        <w:rPr>
          <w:rFonts w:cs="Arial"/>
          <w:sz w:val="24"/>
          <w:szCs w:val="24"/>
        </w:rPr>
        <w:t>determined by UPLC-MS/MS</w:t>
      </w:r>
      <w:r w:rsidR="003F6002">
        <w:rPr>
          <w:rFonts w:cs="Arial"/>
          <w:sz w:val="24"/>
          <w:szCs w:val="24"/>
        </w:rPr>
        <w:t xml:space="preserve">. </w:t>
      </w:r>
      <w:r w:rsidR="006852D2">
        <w:rPr>
          <w:rFonts w:cs="Arial"/>
          <w:sz w:val="24"/>
          <w:szCs w:val="24"/>
        </w:rPr>
        <w:t xml:space="preserve">The </w:t>
      </w:r>
      <w:r w:rsidR="003F6002" w:rsidRPr="003F6002">
        <w:rPr>
          <w:rFonts w:cs="Arial"/>
          <w:sz w:val="24"/>
          <w:szCs w:val="24"/>
        </w:rPr>
        <w:t xml:space="preserve">uptake and cytotoxicity of VCR in the presence of </w:t>
      </w:r>
      <w:proofErr w:type="spellStart"/>
      <w:r w:rsidR="003F6002" w:rsidRPr="003F6002">
        <w:rPr>
          <w:rFonts w:cs="Arial"/>
          <w:sz w:val="24"/>
          <w:szCs w:val="24"/>
        </w:rPr>
        <w:t>nilotinib</w:t>
      </w:r>
      <w:proofErr w:type="spellEnd"/>
      <w:r w:rsidR="0076232A">
        <w:rPr>
          <w:rFonts w:cs="Arial"/>
          <w:sz w:val="24"/>
          <w:szCs w:val="24"/>
        </w:rPr>
        <w:t xml:space="preserve"> (</w:t>
      </w:r>
      <w:r w:rsidR="00971142">
        <w:rPr>
          <w:rFonts w:cs="Arial"/>
          <w:sz w:val="24"/>
          <w:szCs w:val="24"/>
        </w:rPr>
        <w:t>0.2 or 1</w:t>
      </w:r>
      <w:r w:rsidR="00971142" w:rsidRPr="00971142">
        <w:rPr>
          <w:rFonts w:ascii="Symbol" w:hAnsi="Symbol" w:cs="Arial"/>
          <w:sz w:val="24"/>
          <w:szCs w:val="24"/>
        </w:rPr>
        <w:t></w:t>
      </w:r>
      <w:r w:rsidR="00971142">
        <w:rPr>
          <w:rFonts w:cs="Arial"/>
          <w:sz w:val="24"/>
          <w:szCs w:val="24"/>
        </w:rPr>
        <w:t>M)</w:t>
      </w:r>
      <w:r w:rsidR="003F6002" w:rsidRPr="003F6002">
        <w:rPr>
          <w:rFonts w:cs="Arial"/>
          <w:sz w:val="24"/>
          <w:szCs w:val="24"/>
        </w:rPr>
        <w:t xml:space="preserve"> were </w:t>
      </w:r>
      <w:r w:rsidR="003F6002">
        <w:rPr>
          <w:rFonts w:cs="Arial"/>
          <w:sz w:val="24"/>
          <w:szCs w:val="24"/>
        </w:rPr>
        <w:t>measured</w:t>
      </w:r>
      <w:r w:rsidR="003F6002" w:rsidRPr="003F6002">
        <w:rPr>
          <w:rFonts w:cs="Arial"/>
          <w:sz w:val="24"/>
          <w:szCs w:val="24"/>
        </w:rPr>
        <w:t xml:space="preserve"> in 5 leukemia cancer cell lines.</w:t>
      </w:r>
    </w:p>
    <w:p w:rsidR="005A4C49" w:rsidRDefault="002517D3" w:rsidP="005A4C49">
      <w:pPr>
        <w:spacing w:after="0" w:line="240" w:lineRule="auto"/>
        <w:jc w:val="both"/>
        <w:rPr>
          <w:rFonts w:cs="Arial"/>
          <w:b/>
          <w:sz w:val="24"/>
          <w:szCs w:val="24"/>
        </w:rPr>
      </w:pPr>
      <w:r w:rsidRPr="003A1345">
        <w:rPr>
          <w:rFonts w:cs="Arial"/>
          <w:b/>
          <w:sz w:val="24"/>
          <w:szCs w:val="24"/>
        </w:rPr>
        <w:t>RESULSTS</w:t>
      </w:r>
    </w:p>
    <w:p w:rsidR="00FA08FA" w:rsidRPr="008E2379" w:rsidRDefault="00FA3421" w:rsidP="005A4C49">
      <w:pPr>
        <w:spacing w:after="0" w:line="240" w:lineRule="auto"/>
        <w:jc w:val="both"/>
        <w:rPr>
          <w:rFonts w:cs="Arial"/>
          <w:sz w:val="24"/>
          <w:szCs w:val="24"/>
        </w:rPr>
      </w:pPr>
      <w:r>
        <w:rPr>
          <w:rFonts w:cs="Arial"/>
          <w:sz w:val="24"/>
          <w:szCs w:val="24"/>
        </w:rPr>
        <w:t xml:space="preserve">We firstly </w:t>
      </w:r>
      <w:r w:rsidRPr="00FA3421">
        <w:rPr>
          <w:rFonts w:cs="Arial"/>
          <w:sz w:val="24"/>
          <w:szCs w:val="24"/>
        </w:rPr>
        <w:t xml:space="preserve">confirmed that </w:t>
      </w:r>
      <w:r>
        <w:rPr>
          <w:rFonts w:cs="Arial"/>
          <w:sz w:val="24"/>
          <w:szCs w:val="24"/>
        </w:rPr>
        <w:t>VCR</w:t>
      </w:r>
      <w:r w:rsidRPr="00FA3421">
        <w:rPr>
          <w:rFonts w:cs="Arial"/>
          <w:sz w:val="24"/>
          <w:szCs w:val="24"/>
        </w:rPr>
        <w:t xml:space="preserve"> could be transported in HEK293 cell</w:t>
      </w:r>
      <w:r>
        <w:rPr>
          <w:rFonts w:cs="Arial"/>
          <w:sz w:val="24"/>
          <w:szCs w:val="24"/>
        </w:rPr>
        <w:t>s overexpressing mouse OATP1B2</w:t>
      </w:r>
      <w:r w:rsidRPr="00FA3421">
        <w:rPr>
          <w:rFonts w:cs="Arial"/>
          <w:sz w:val="24"/>
          <w:szCs w:val="24"/>
        </w:rPr>
        <w:t xml:space="preserve"> and human </w:t>
      </w:r>
      <w:r>
        <w:rPr>
          <w:rFonts w:cs="Arial"/>
          <w:sz w:val="24"/>
          <w:szCs w:val="24"/>
        </w:rPr>
        <w:t>OATP1B3</w:t>
      </w:r>
      <w:r w:rsidRPr="00FA3421">
        <w:rPr>
          <w:rFonts w:cs="Arial"/>
          <w:sz w:val="24"/>
          <w:szCs w:val="24"/>
        </w:rPr>
        <w:t xml:space="preserve"> homolog proteins</w:t>
      </w:r>
      <w:r w:rsidR="008E2379">
        <w:rPr>
          <w:rFonts w:cs="Arial"/>
          <w:sz w:val="24"/>
          <w:szCs w:val="24"/>
        </w:rPr>
        <w:t xml:space="preserve"> (</w:t>
      </w:r>
      <w:r w:rsidR="008E2379" w:rsidRPr="008E2379">
        <w:rPr>
          <w:rFonts w:cs="Arial"/>
          <w:i/>
          <w:sz w:val="24"/>
          <w:szCs w:val="24"/>
        </w:rPr>
        <w:t>P</w:t>
      </w:r>
      <w:r w:rsidR="008E2379">
        <w:rPr>
          <w:rFonts w:cs="Arial"/>
          <w:i/>
          <w:sz w:val="24"/>
          <w:szCs w:val="24"/>
        </w:rPr>
        <w:t xml:space="preserve"> </w:t>
      </w:r>
      <w:r w:rsidR="008E2379">
        <w:rPr>
          <w:rFonts w:cs="Arial"/>
          <w:sz w:val="24"/>
          <w:szCs w:val="24"/>
        </w:rPr>
        <w:t>&lt; 0.05)</w:t>
      </w:r>
      <w:r>
        <w:rPr>
          <w:rFonts w:cs="Arial"/>
          <w:sz w:val="24"/>
          <w:szCs w:val="24"/>
        </w:rPr>
        <w:t>. T</w:t>
      </w:r>
      <w:r w:rsidRPr="00FA3421">
        <w:rPr>
          <w:rFonts w:cs="Arial"/>
          <w:sz w:val="24"/>
          <w:szCs w:val="24"/>
        </w:rPr>
        <w:t>o support the hypothesis that the ability of OATP1B1 and</w:t>
      </w:r>
      <w:r>
        <w:rPr>
          <w:rFonts w:cs="Arial"/>
          <w:sz w:val="24"/>
          <w:szCs w:val="24"/>
        </w:rPr>
        <w:t>/or</w:t>
      </w:r>
      <w:r w:rsidRPr="00FA3421">
        <w:rPr>
          <w:rFonts w:cs="Arial"/>
          <w:sz w:val="24"/>
          <w:szCs w:val="24"/>
        </w:rPr>
        <w:t xml:space="preserve"> OATP1B3 to facilitate neuronal uptake of </w:t>
      </w:r>
      <w:r>
        <w:rPr>
          <w:rFonts w:cs="Arial"/>
          <w:sz w:val="24"/>
          <w:szCs w:val="24"/>
        </w:rPr>
        <w:t>VCR</w:t>
      </w:r>
      <w:r w:rsidRPr="00FA3421">
        <w:rPr>
          <w:rFonts w:cs="Arial"/>
          <w:sz w:val="24"/>
          <w:szCs w:val="24"/>
        </w:rPr>
        <w:t xml:space="preserve"> is of clinical interests, we confirmed the presence of OATP1B3 and absent of OATP1B1 mRNA in pooled human DRG</w:t>
      </w:r>
      <w:r>
        <w:rPr>
          <w:rFonts w:cs="Arial"/>
          <w:sz w:val="24"/>
          <w:szCs w:val="24"/>
        </w:rPr>
        <w:t>.</w:t>
      </w:r>
      <w:r w:rsidR="00FA08FA">
        <w:rPr>
          <w:rFonts w:cs="Arial"/>
          <w:sz w:val="24"/>
          <w:szCs w:val="24"/>
        </w:rPr>
        <w:t xml:space="preserve"> VCR</w:t>
      </w:r>
      <w:r w:rsidR="00ED1880" w:rsidRPr="00ED1880">
        <w:rPr>
          <w:rFonts w:cs="Arial"/>
          <w:sz w:val="24"/>
          <w:szCs w:val="24"/>
        </w:rPr>
        <w:t xml:space="preserve"> </w:t>
      </w:r>
      <w:r w:rsidR="00E03AAC">
        <w:rPr>
          <w:rFonts w:cs="Arial"/>
          <w:sz w:val="24"/>
          <w:szCs w:val="24"/>
        </w:rPr>
        <w:t>induced</w:t>
      </w:r>
      <w:r w:rsidR="008E2379">
        <w:rPr>
          <w:rFonts w:cs="Arial"/>
          <w:sz w:val="24"/>
          <w:szCs w:val="24"/>
        </w:rPr>
        <w:t xml:space="preserve"> acute (</w:t>
      </w:r>
      <w:r w:rsidR="008E2379" w:rsidRPr="008E2379">
        <w:rPr>
          <w:rFonts w:cs="Arial"/>
          <w:i/>
          <w:sz w:val="24"/>
          <w:szCs w:val="24"/>
        </w:rPr>
        <w:t>P</w:t>
      </w:r>
      <w:r w:rsidR="008E2379">
        <w:rPr>
          <w:rFonts w:cs="Arial"/>
          <w:i/>
          <w:sz w:val="24"/>
          <w:szCs w:val="24"/>
        </w:rPr>
        <w:t xml:space="preserve"> </w:t>
      </w:r>
      <w:r w:rsidR="00FA08FA" w:rsidRPr="00FA08FA">
        <w:rPr>
          <w:rFonts w:cs="Arial"/>
          <w:sz w:val="24"/>
          <w:szCs w:val="24"/>
        </w:rPr>
        <w:t>&lt;</w:t>
      </w:r>
      <w:r w:rsidR="008E2379">
        <w:rPr>
          <w:rFonts w:cs="Arial"/>
          <w:sz w:val="24"/>
          <w:szCs w:val="24"/>
        </w:rPr>
        <w:t xml:space="preserve"> </w:t>
      </w:r>
      <w:r w:rsidR="00FA08FA" w:rsidRPr="00FA08FA">
        <w:rPr>
          <w:rFonts w:cs="Arial"/>
          <w:sz w:val="24"/>
          <w:szCs w:val="24"/>
        </w:rPr>
        <w:t>0.0</w:t>
      </w:r>
      <w:r w:rsidR="008E2379">
        <w:rPr>
          <w:rFonts w:cs="Arial"/>
          <w:sz w:val="24"/>
          <w:szCs w:val="24"/>
        </w:rPr>
        <w:t>5, Von Frey test) and chronic (</w:t>
      </w:r>
      <w:r w:rsidR="008E2379" w:rsidRPr="008E2379">
        <w:rPr>
          <w:rFonts w:cs="Arial"/>
          <w:i/>
          <w:sz w:val="24"/>
          <w:szCs w:val="24"/>
        </w:rPr>
        <w:t>P</w:t>
      </w:r>
      <w:r w:rsidR="008E2379">
        <w:rPr>
          <w:rFonts w:cs="Arial"/>
          <w:i/>
          <w:sz w:val="24"/>
          <w:szCs w:val="24"/>
        </w:rPr>
        <w:t xml:space="preserve"> </w:t>
      </w:r>
      <w:r w:rsidR="008E2379">
        <w:rPr>
          <w:rFonts w:cs="Arial"/>
          <w:sz w:val="24"/>
          <w:szCs w:val="24"/>
        </w:rPr>
        <w:t>&lt; 0.05, Von Frey,</w:t>
      </w:r>
      <w:r w:rsidR="00FA08FA" w:rsidRPr="00FA08FA">
        <w:rPr>
          <w:rFonts w:cs="Arial"/>
          <w:sz w:val="24"/>
          <w:szCs w:val="24"/>
        </w:rPr>
        <w:t xml:space="preserve"> heat plantar test</w:t>
      </w:r>
      <w:r w:rsidR="008E2379">
        <w:rPr>
          <w:rFonts w:cs="Arial"/>
          <w:sz w:val="24"/>
          <w:szCs w:val="24"/>
        </w:rPr>
        <w:t>,</w:t>
      </w:r>
      <w:r w:rsidR="008E2379" w:rsidRPr="008E2379">
        <w:t xml:space="preserve"> </w:t>
      </w:r>
      <w:r w:rsidR="008E2379">
        <w:t xml:space="preserve">and </w:t>
      </w:r>
      <w:r w:rsidR="008E2379" w:rsidRPr="008E2379">
        <w:rPr>
          <w:rFonts w:cs="Arial"/>
          <w:sz w:val="24"/>
          <w:szCs w:val="24"/>
        </w:rPr>
        <w:t>sciatic nerve amplitude</w:t>
      </w:r>
      <w:r w:rsidR="00FA08FA" w:rsidRPr="00FA08FA">
        <w:rPr>
          <w:rFonts w:cs="Arial"/>
          <w:sz w:val="24"/>
          <w:szCs w:val="24"/>
        </w:rPr>
        <w:t>) forms of neurotoxicity in an OATP1B2-dependent manner</w:t>
      </w:r>
      <w:r w:rsidR="00FA08FA">
        <w:rPr>
          <w:rFonts w:cs="Arial"/>
          <w:sz w:val="24"/>
          <w:szCs w:val="24"/>
        </w:rPr>
        <w:t xml:space="preserve">, </w:t>
      </w:r>
      <w:r w:rsidR="00FA08FA" w:rsidRPr="00FA08FA">
        <w:rPr>
          <w:rFonts w:cs="Arial"/>
          <w:sz w:val="24"/>
          <w:szCs w:val="24"/>
        </w:rPr>
        <w:t>while genoty</w:t>
      </w:r>
      <w:r w:rsidR="00E03AAC">
        <w:rPr>
          <w:rFonts w:cs="Arial"/>
          <w:sz w:val="24"/>
          <w:szCs w:val="24"/>
        </w:rPr>
        <w:t>pe status did not alter</w:t>
      </w:r>
      <w:r w:rsidR="00FA08FA" w:rsidRPr="00FA08FA">
        <w:rPr>
          <w:rFonts w:cs="Arial"/>
          <w:sz w:val="24"/>
          <w:szCs w:val="24"/>
        </w:rPr>
        <w:t xml:space="preserve"> systemic exposure of VCR.</w:t>
      </w:r>
      <w:r w:rsidR="005A4C49">
        <w:rPr>
          <w:rFonts w:cs="Arial"/>
          <w:sz w:val="24"/>
          <w:szCs w:val="24"/>
        </w:rPr>
        <w:t xml:space="preserve"> Pretreatment of </w:t>
      </w:r>
      <w:r w:rsidR="0076232A">
        <w:rPr>
          <w:rFonts w:cs="Arial"/>
          <w:sz w:val="24"/>
          <w:szCs w:val="24"/>
        </w:rPr>
        <w:t xml:space="preserve">100mg/kg of oral </w:t>
      </w:r>
      <w:proofErr w:type="spellStart"/>
      <w:r w:rsidR="00A7217A">
        <w:rPr>
          <w:rFonts w:cs="Arial"/>
          <w:sz w:val="24"/>
          <w:szCs w:val="24"/>
        </w:rPr>
        <w:t>n</w:t>
      </w:r>
      <w:r w:rsidR="00FA08FA">
        <w:rPr>
          <w:rFonts w:cs="Arial"/>
          <w:sz w:val="24"/>
          <w:szCs w:val="24"/>
        </w:rPr>
        <w:t>ilotinib</w:t>
      </w:r>
      <w:proofErr w:type="spellEnd"/>
      <w:r w:rsidR="00FA08FA">
        <w:rPr>
          <w:rFonts w:cs="Arial"/>
          <w:sz w:val="24"/>
          <w:szCs w:val="24"/>
        </w:rPr>
        <w:t xml:space="preserve"> significantly</w:t>
      </w:r>
      <w:r w:rsidR="00E03AAC">
        <w:rPr>
          <w:rFonts w:cs="Arial"/>
          <w:sz w:val="24"/>
          <w:szCs w:val="24"/>
        </w:rPr>
        <w:t xml:space="preserve"> </w:t>
      </w:r>
      <w:r w:rsidR="00D66979">
        <w:rPr>
          <w:rFonts w:cs="Arial"/>
          <w:sz w:val="24"/>
          <w:szCs w:val="24"/>
        </w:rPr>
        <w:t>prevented VCR-induced sensitivity to</w:t>
      </w:r>
      <w:r w:rsidR="00D66979" w:rsidRPr="00D66979">
        <w:t xml:space="preserve"> </w:t>
      </w:r>
      <w:r w:rsidR="00D66979" w:rsidRPr="00D66979">
        <w:rPr>
          <w:rFonts w:cs="Arial"/>
          <w:sz w:val="24"/>
          <w:szCs w:val="24"/>
        </w:rPr>
        <w:t>mechanical allodynia</w:t>
      </w:r>
      <w:r w:rsidR="008E2379">
        <w:rPr>
          <w:rFonts w:cs="Arial"/>
          <w:sz w:val="24"/>
          <w:szCs w:val="24"/>
        </w:rPr>
        <w:t>,</w:t>
      </w:r>
      <w:r w:rsidR="008E2379" w:rsidRPr="008E2379">
        <w:t xml:space="preserve"> </w:t>
      </w:r>
      <w:r w:rsidR="008E2379" w:rsidRPr="008E2379">
        <w:rPr>
          <w:rFonts w:cs="Arial"/>
          <w:sz w:val="24"/>
          <w:szCs w:val="24"/>
        </w:rPr>
        <w:t>thermal hyperalgesia, and sciatic nerve</w:t>
      </w:r>
      <w:r w:rsidR="008E2379">
        <w:rPr>
          <w:rFonts w:cs="Arial"/>
          <w:sz w:val="24"/>
          <w:szCs w:val="24"/>
        </w:rPr>
        <w:t xml:space="preserve"> amplitude</w:t>
      </w:r>
      <w:r w:rsidR="00D66979">
        <w:rPr>
          <w:rFonts w:cs="Arial"/>
          <w:sz w:val="24"/>
          <w:szCs w:val="24"/>
        </w:rPr>
        <w:t xml:space="preserve"> (</w:t>
      </w:r>
      <w:r w:rsidR="008E2379" w:rsidRPr="008E2379">
        <w:rPr>
          <w:rFonts w:cs="Arial"/>
          <w:i/>
          <w:sz w:val="24"/>
          <w:szCs w:val="24"/>
        </w:rPr>
        <w:t>P</w:t>
      </w:r>
      <w:r w:rsidR="008E2379">
        <w:rPr>
          <w:rFonts w:cs="Arial"/>
          <w:i/>
          <w:sz w:val="24"/>
          <w:szCs w:val="24"/>
        </w:rPr>
        <w:t xml:space="preserve"> </w:t>
      </w:r>
      <w:r w:rsidR="00D66979">
        <w:rPr>
          <w:rFonts w:cs="Arial"/>
          <w:sz w:val="24"/>
          <w:szCs w:val="24"/>
        </w:rPr>
        <w:t>&lt;</w:t>
      </w:r>
      <w:r w:rsidR="008E2379">
        <w:rPr>
          <w:rFonts w:cs="Arial"/>
          <w:sz w:val="24"/>
          <w:szCs w:val="24"/>
        </w:rPr>
        <w:t xml:space="preserve"> </w:t>
      </w:r>
      <w:r w:rsidR="00D66979">
        <w:rPr>
          <w:rFonts w:cs="Arial"/>
          <w:sz w:val="24"/>
          <w:szCs w:val="24"/>
        </w:rPr>
        <w:t>0.05</w:t>
      </w:r>
      <w:r w:rsidR="00FA08FA">
        <w:rPr>
          <w:rFonts w:cs="Arial"/>
          <w:sz w:val="24"/>
          <w:szCs w:val="24"/>
        </w:rPr>
        <w:t>)</w:t>
      </w:r>
      <w:r w:rsidR="00A7217A">
        <w:rPr>
          <w:rFonts w:cs="Arial"/>
          <w:sz w:val="24"/>
          <w:szCs w:val="24"/>
        </w:rPr>
        <w:t xml:space="preserve"> in wild-type mice</w:t>
      </w:r>
      <w:r w:rsidR="00FA08FA">
        <w:rPr>
          <w:rFonts w:cs="Arial"/>
          <w:sz w:val="24"/>
          <w:szCs w:val="24"/>
        </w:rPr>
        <w:t xml:space="preserve">. </w:t>
      </w:r>
      <w:r w:rsidR="00FA08FA" w:rsidRPr="00FA08FA">
        <w:rPr>
          <w:rFonts w:cs="Arial"/>
          <w:sz w:val="24"/>
          <w:szCs w:val="24"/>
        </w:rPr>
        <w:t xml:space="preserve">The uptake and cytotoxic effects of VCR in </w:t>
      </w:r>
      <w:r w:rsidR="00214D35">
        <w:rPr>
          <w:rFonts w:cs="Arial"/>
          <w:sz w:val="24"/>
          <w:szCs w:val="24"/>
        </w:rPr>
        <w:t xml:space="preserve">leukemia </w:t>
      </w:r>
      <w:r w:rsidR="00FA08FA" w:rsidRPr="00FA08FA">
        <w:rPr>
          <w:rFonts w:cs="Arial"/>
          <w:sz w:val="24"/>
          <w:szCs w:val="24"/>
        </w:rPr>
        <w:t xml:space="preserve">tumor cells were not negatively influenced by </w:t>
      </w:r>
      <w:proofErr w:type="spellStart"/>
      <w:r w:rsidR="008E2379">
        <w:rPr>
          <w:rFonts w:cs="Arial"/>
          <w:sz w:val="24"/>
          <w:szCs w:val="24"/>
        </w:rPr>
        <w:t>nilotinib</w:t>
      </w:r>
      <w:proofErr w:type="spellEnd"/>
      <w:r w:rsidR="008E2379">
        <w:rPr>
          <w:rFonts w:cs="Arial"/>
          <w:sz w:val="24"/>
          <w:szCs w:val="24"/>
        </w:rPr>
        <w:t>.</w:t>
      </w:r>
    </w:p>
    <w:p w:rsidR="002517D3" w:rsidRPr="003A1345" w:rsidRDefault="002517D3" w:rsidP="002517D3">
      <w:pPr>
        <w:spacing w:after="0" w:line="240" w:lineRule="auto"/>
        <w:jc w:val="both"/>
        <w:rPr>
          <w:rFonts w:cs="Arial"/>
          <w:b/>
          <w:sz w:val="24"/>
          <w:szCs w:val="24"/>
        </w:rPr>
      </w:pPr>
      <w:r w:rsidRPr="003A1345">
        <w:rPr>
          <w:rFonts w:cs="Arial"/>
          <w:b/>
          <w:sz w:val="24"/>
          <w:szCs w:val="24"/>
        </w:rPr>
        <w:t>CONCLUSION</w:t>
      </w:r>
    </w:p>
    <w:p w:rsidR="00E95AFA" w:rsidRDefault="008E2379" w:rsidP="00B14DC2">
      <w:pPr>
        <w:spacing w:after="0" w:line="240" w:lineRule="auto"/>
        <w:jc w:val="both"/>
        <w:rPr>
          <w:rFonts w:cs="Arial"/>
          <w:sz w:val="24"/>
          <w:szCs w:val="24"/>
        </w:rPr>
      </w:pPr>
      <w:r>
        <w:rPr>
          <w:rFonts w:cs="Arial"/>
          <w:sz w:val="24"/>
          <w:szCs w:val="24"/>
        </w:rPr>
        <w:t>I</w:t>
      </w:r>
      <w:r w:rsidR="005041B4">
        <w:rPr>
          <w:rFonts w:cs="Arial"/>
          <w:sz w:val="24"/>
          <w:szCs w:val="24"/>
        </w:rPr>
        <w:t>n</w:t>
      </w:r>
      <w:r>
        <w:rPr>
          <w:rFonts w:cs="Arial"/>
          <w:sz w:val="24"/>
          <w:szCs w:val="24"/>
        </w:rPr>
        <w:t xml:space="preserve"> this study, </w:t>
      </w:r>
      <w:r w:rsidRPr="008E2379">
        <w:rPr>
          <w:rFonts w:cs="Arial"/>
          <w:sz w:val="24"/>
          <w:szCs w:val="24"/>
        </w:rPr>
        <w:t xml:space="preserve">we identified </w:t>
      </w:r>
      <w:r w:rsidR="00214D35" w:rsidRPr="008E2379">
        <w:rPr>
          <w:rFonts w:cs="Arial"/>
          <w:sz w:val="24"/>
          <w:szCs w:val="24"/>
        </w:rPr>
        <w:t>OATP1B-type transporters</w:t>
      </w:r>
      <w:r w:rsidR="00214D35" w:rsidRPr="008E2379">
        <w:rPr>
          <w:rFonts w:cs="Arial"/>
          <w:sz w:val="24"/>
          <w:szCs w:val="24"/>
        </w:rPr>
        <w:t xml:space="preserve"> </w:t>
      </w:r>
      <w:r w:rsidRPr="008E2379">
        <w:rPr>
          <w:rFonts w:cs="Arial"/>
          <w:sz w:val="24"/>
          <w:szCs w:val="24"/>
        </w:rPr>
        <w:t>a</w:t>
      </w:r>
      <w:r w:rsidR="00214D35">
        <w:rPr>
          <w:rFonts w:cs="Arial"/>
          <w:sz w:val="24"/>
          <w:szCs w:val="24"/>
        </w:rPr>
        <w:t xml:space="preserve">s a mediator for VIPN. </w:t>
      </w:r>
      <w:r w:rsidRPr="008E2379">
        <w:rPr>
          <w:rFonts w:cs="Arial"/>
          <w:sz w:val="24"/>
          <w:szCs w:val="24"/>
        </w:rPr>
        <w:t>The function of this transport system can be inhibited by</w:t>
      </w:r>
      <w:r w:rsidR="00214D35">
        <w:rPr>
          <w:rFonts w:cs="Arial"/>
          <w:sz w:val="24"/>
          <w:szCs w:val="24"/>
        </w:rPr>
        <w:t xml:space="preserve"> tyrosine kinase inhibitor</w:t>
      </w:r>
      <w:r w:rsidRPr="008E2379">
        <w:rPr>
          <w:rFonts w:cs="Arial"/>
          <w:sz w:val="24"/>
          <w:szCs w:val="24"/>
        </w:rPr>
        <w:t xml:space="preserve"> </w:t>
      </w:r>
      <w:proofErr w:type="spellStart"/>
      <w:r w:rsidRPr="008E2379">
        <w:rPr>
          <w:rFonts w:cs="Arial"/>
          <w:sz w:val="24"/>
          <w:szCs w:val="24"/>
        </w:rPr>
        <w:t>nilotinib</w:t>
      </w:r>
      <w:proofErr w:type="spellEnd"/>
      <w:r w:rsidR="005041B4">
        <w:rPr>
          <w:rFonts w:cs="Arial"/>
          <w:sz w:val="24"/>
          <w:szCs w:val="24"/>
        </w:rPr>
        <w:t xml:space="preserve">, </w:t>
      </w:r>
      <w:r w:rsidR="00214D35">
        <w:rPr>
          <w:rFonts w:cs="Arial"/>
          <w:sz w:val="24"/>
          <w:szCs w:val="24"/>
        </w:rPr>
        <w:t>without compromising</w:t>
      </w:r>
      <w:r w:rsidRPr="008E2379">
        <w:rPr>
          <w:rFonts w:cs="Arial"/>
          <w:sz w:val="24"/>
          <w:szCs w:val="24"/>
        </w:rPr>
        <w:t xml:space="preserve"> anticancer properties of </w:t>
      </w:r>
      <w:r w:rsidR="00C202A1">
        <w:rPr>
          <w:rFonts w:cs="Arial"/>
          <w:sz w:val="24"/>
          <w:szCs w:val="24"/>
        </w:rPr>
        <w:t>VCR</w:t>
      </w:r>
      <w:bookmarkStart w:id="0" w:name="_GoBack"/>
      <w:bookmarkEnd w:id="0"/>
      <w:r w:rsidRPr="008E2379">
        <w:rPr>
          <w:rFonts w:cs="Arial"/>
          <w:sz w:val="24"/>
          <w:szCs w:val="24"/>
        </w:rPr>
        <w:t>.</w:t>
      </w:r>
      <w:r>
        <w:rPr>
          <w:rFonts w:cs="Arial"/>
          <w:sz w:val="24"/>
          <w:szCs w:val="24"/>
        </w:rPr>
        <w:t xml:space="preserve"> </w:t>
      </w:r>
      <w:r w:rsidR="00ED1880" w:rsidRPr="00ED1880">
        <w:rPr>
          <w:rFonts w:cs="Arial"/>
          <w:sz w:val="24"/>
          <w:szCs w:val="24"/>
        </w:rPr>
        <w:t xml:space="preserve">These findings provide a rationale for the future development of the intervention strategy using transporter inhibitors to mitigate a debilitating side effect associated with </w:t>
      </w:r>
      <w:r>
        <w:rPr>
          <w:rFonts w:cs="Arial"/>
          <w:sz w:val="24"/>
          <w:szCs w:val="24"/>
        </w:rPr>
        <w:t>VCR</w:t>
      </w:r>
      <w:r w:rsidR="00ED1880" w:rsidRPr="00ED1880">
        <w:rPr>
          <w:rFonts w:cs="Arial"/>
          <w:sz w:val="24"/>
          <w:szCs w:val="24"/>
        </w:rPr>
        <w:t>.</w:t>
      </w:r>
    </w:p>
    <w:p w:rsidR="00ED1880" w:rsidRDefault="00ED1880" w:rsidP="00B14DC2">
      <w:pPr>
        <w:spacing w:after="0" w:line="240" w:lineRule="auto"/>
        <w:jc w:val="both"/>
        <w:rPr>
          <w:rFonts w:eastAsia="Times New Roman"/>
          <w:sz w:val="20"/>
          <w:szCs w:val="20"/>
        </w:rPr>
      </w:pPr>
    </w:p>
    <w:p w:rsidR="00E95AFA" w:rsidRDefault="00BB1441" w:rsidP="00B14DC2">
      <w:pPr>
        <w:spacing w:after="0" w:line="240" w:lineRule="auto"/>
        <w:jc w:val="both"/>
        <w:rPr>
          <w:rFonts w:eastAsia="Times New Roman"/>
          <w:sz w:val="20"/>
          <w:szCs w:val="20"/>
        </w:rPr>
      </w:pPr>
      <w:r>
        <w:rPr>
          <w:rFonts w:eastAsia="Times New Roman"/>
          <w:sz w:val="20"/>
          <w:szCs w:val="20"/>
        </w:rPr>
        <w:lastRenderedPageBreak/>
        <w:t>References:</w:t>
      </w:r>
    </w:p>
    <w:p w:rsidR="007A7FF7" w:rsidRDefault="007A7FF7" w:rsidP="00ED1880">
      <w:pPr>
        <w:spacing w:after="0" w:line="240" w:lineRule="auto"/>
        <w:jc w:val="both"/>
        <w:rPr>
          <w:rFonts w:eastAsia="Times New Roman"/>
          <w:sz w:val="20"/>
          <w:szCs w:val="20"/>
        </w:rPr>
      </w:pPr>
      <w:r w:rsidRPr="007A7FF7">
        <w:rPr>
          <w:rFonts w:eastAsia="Times New Roman"/>
          <w:sz w:val="20"/>
          <w:szCs w:val="20"/>
        </w:rPr>
        <w:t xml:space="preserve">T. B. Stage, S. Hu, A. Sparreboom, D. L. Kroetz, </w:t>
      </w:r>
      <w:r>
        <w:rPr>
          <w:rFonts w:eastAsia="Times New Roman"/>
          <w:sz w:val="20"/>
          <w:szCs w:val="20"/>
        </w:rPr>
        <w:t>“</w:t>
      </w:r>
      <w:r w:rsidRPr="007A7FF7">
        <w:rPr>
          <w:rFonts w:eastAsia="Times New Roman"/>
          <w:sz w:val="20"/>
          <w:szCs w:val="20"/>
        </w:rPr>
        <w:t>Role for Drug Transporters in Chemotherapy‐Induced Peripheral Neuropathy.</w:t>
      </w:r>
      <w:r>
        <w:rPr>
          <w:rFonts w:eastAsia="Times New Roman"/>
          <w:sz w:val="20"/>
          <w:szCs w:val="20"/>
        </w:rPr>
        <w:t>”</w:t>
      </w:r>
      <w:r w:rsidRPr="007A7FF7">
        <w:rPr>
          <w:rFonts w:eastAsia="Times New Roman"/>
          <w:sz w:val="20"/>
          <w:szCs w:val="20"/>
        </w:rPr>
        <w:t xml:space="preserve"> </w:t>
      </w:r>
      <w:r w:rsidRPr="007A7FF7">
        <w:rPr>
          <w:rFonts w:eastAsia="Times New Roman"/>
          <w:i/>
          <w:sz w:val="20"/>
          <w:szCs w:val="20"/>
        </w:rPr>
        <w:t>Clinical and Translational Science</w:t>
      </w:r>
      <w:r w:rsidRPr="007A7FF7">
        <w:rPr>
          <w:rFonts w:eastAsia="Times New Roman"/>
          <w:sz w:val="20"/>
          <w:szCs w:val="20"/>
        </w:rPr>
        <w:t xml:space="preserve"> (2020).</w:t>
      </w:r>
    </w:p>
    <w:p w:rsidR="00CE7B8B" w:rsidRPr="00ED1880" w:rsidRDefault="00E95AFA" w:rsidP="00ED1880">
      <w:pPr>
        <w:spacing w:after="0" w:line="240" w:lineRule="auto"/>
        <w:jc w:val="both"/>
        <w:rPr>
          <w:rFonts w:eastAsia="Times New Roman"/>
          <w:sz w:val="20"/>
          <w:szCs w:val="20"/>
        </w:rPr>
      </w:pPr>
      <w:r w:rsidRPr="00E95AFA">
        <w:rPr>
          <w:rFonts w:eastAsia="Times New Roman"/>
          <w:sz w:val="20"/>
          <w:szCs w:val="20"/>
        </w:rPr>
        <w:t>Leblanc, Alix F., et al. "OATP1B2 deficiency protects against paclitaxel-induced neurotoxicity." </w:t>
      </w:r>
      <w:r w:rsidRPr="00E95AFA">
        <w:rPr>
          <w:rFonts w:eastAsia="Times New Roman"/>
          <w:i/>
          <w:iCs/>
          <w:sz w:val="20"/>
          <w:szCs w:val="20"/>
        </w:rPr>
        <w:t>The Journal of clinical investigation</w:t>
      </w:r>
      <w:r w:rsidRPr="00E95AFA">
        <w:rPr>
          <w:rFonts w:eastAsia="Times New Roman"/>
          <w:sz w:val="20"/>
          <w:szCs w:val="20"/>
        </w:rPr>
        <w:t> 128.2 (2018): 816-825.</w:t>
      </w:r>
    </w:p>
    <w:sectPr w:rsidR="00CE7B8B" w:rsidRPr="00ED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85"/>
    <w:rsid w:val="000017A6"/>
    <w:rsid w:val="00006CDF"/>
    <w:rsid w:val="00015456"/>
    <w:rsid w:val="00023A92"/>
    <w:rsid w:val="000323C6"/>
    <w:rsid w:val="00033DE8"/>
    <w:rsid w:val="000421C6"/>
    <w:rsid w:val="000446C4"/>
    <w:rsid w:val="000543A2"/>
    <w:rsid w:val="00056696"/>
    <w:rsid w:val="00066603"/>
    <w:rsid w:val="000920CE"/>
    <w:rsid w:val="000B6843"/>
    <w:rsid w:val="000C7BFE"/>
    <w:rsid w:val="00114B9E"/>
    <w:rsid w:val="00122190"/>
    <w:rsid w:val="00123562"/>
    <w:rsid w:val="00141264"/>
    <w:rsid w:val="00155E71"/>
    <w:rsid w:val="00173138"/>
    <w:rsid w:val="0018377D"/>
    <w:rsid w:val="001E767F"/>
    <w:rsid w:val="001F123B"/>
    <w:rsid w:val="00214D35"/>
    <w:rsid w:val="00246A00"/>
    <w:rsid w:val="002517D3"/>
    <w:rsid w:val="00253FD2"/>
    <w:rsid w:val="00255688"/>
    <w:rsid w:val="002628FD"/>
    <w:rsid w:val="00263DC8"/>
    <w:rsid w:val="002665D0"/>
    <w:rsid w:val="00282453"/>
    <w:rsid w:val="002A4275"/>
    <w:rsid w:val="002C29BA"/>
    <w:rsid w:val="002D56A5"/>
    <w:rsid w:val="002D63B4"/>
    <w:rsid w:val="003050C4"/>
    <w:rsid w:val="003333CB"/>
    <w:rsid w:val="00347C84"/>
    <w:rsid w:val="00357719"/>
    <w:rsid w:val="00380BC7"/>
    <w:rsid w:val="003829C5"/>
    <w:rsid w:val="00393B0A"/>
    <w:rsid w:val="00395CDA"/>
    <w:rsid w:val="003B6856"/>
    <w:rsid w:val="003D0F0B"/>
    <w:rsid w:val="003F6002"/>
    <w:rsid w:val="004109ED"/>
    <w:rsid w:val="004124CB"/>
    <w:rsid w:val="00421118"/>
    <w:rsid w:val="0042208B"/>
    <w:rsid w:val="00426FF6"/>
    <w:rsid w:val="00427878"/>
    <w:rsid w:val="00452D35"/>
    <w:rsid w:val="00457A5B"/>
    <w:rsid w:val="00462350"/>
    <w:rsid w:val="004C5C24"/>
    <w:rsid w:val="004E30A9"/>
    <w:rsid w:val="004F33F4"/>
    <w:rsid w:val="00502016"/>
    <w:rsid w:val="00502ED5"/>
    <w:rsid w:val="005041B4"/>
    <w:rsid w:val="00531BCA"/>
    <w:rsid w:val="00555658"/>
    <w:rsid w:val="0058777A"/>
    <w:rsid w:val="005A4C49"/>
    <w:rsid w:val="005B0F68"/>
    <w:rsid w:val="005E05BB"/>
    <w:rsid w:val="005E38AB"/>
    <w:rsid w:val="005E6DB6"/>
    <w:rsid w:val="00611222"/>
    <w:rsid w:val="00641A3C"/>
    <w:rsid w:val="00645ADB"/>
    <w:rsid w:val="006852D2"/>
    <w:rsid w:val="00685789"/>
    <w:rsid w:val="006C1E0E"/>
    <w:rsid w:val="006C6893"/>
    <w:rsid w:val="006D23A2"/>
    <w:rsid w:val="006E1F46"/>
    <w:rsid w:val="00702430"/>
    <w:rsid w:val="00705F4C"/>
    <w:rsid w:val="00721CBB"/>
    <w:rsid w:val="007452E3"/>
    <w:rsid w:val="00752BE9"/>
    <w:rsid w:val="00761A2B"/>
    <w:rsid w:val="0076232A"/>
    <w:rsid w:val="007A7F00"/>
    <w:rsid w:val="007A7FF7"/>
    <w:rsid w:val="007B4149"/>
    <w:rsid w:val="007F7685"/>
    <w:rsid w:val="0082554F"/>
    <w:rsid w:val="00831172"/>
    <w:rsid w:val="00862244"/>
    <w:rsid w:val="00867CE3"/>
    <w:rsid w:val="008715E7"/>
    <w:rsid w:val="008764E4"/>
    <w:rsid w:val="00896883"/>
    <w:rsid w:val="008B2E69"/>
    <w:rsid w:val="008E2379"/>
    <w:rsid w:val="00914F4E"/>
    <w:rsid w:val="0092161F"/>
    <w:rsid w:val="00925E99"/>
    <w:rsid w:val="0093556C"/>
    <w:rsid w:val="0093750C"/>
    <w:rsid w:val="0094358A"/>
    <w:rsid w:val="00955333"/>
    <w:rsid w:val="00971142"/>
    <w:rsid w:val="009A6F32"/>
    <w:rsid w:val="009B55D1"/>
    <w:rsid w:val="009F047B"/>
    <w:rsid w:val="00A26E0B"/>
    <w:rsid w:val="00A7217A"/>
    <w:rsid w:val="00A74812"/>
    <w:rsid w:val="00A75C0D"/>
    <w:rsid w:val="00A817B1"/>
    <w:rsid w:val="00A94368"/>
    <w:rsid w:val="00A973CB"/>
    <w:rsid w:val="00AD0E86"/>
    <w:rsid w:val="00AD6AE0"/>
    <w:rsid w:val="00B03854"/>
    <w:rsid w:val="00B04A46"/>
    <w:rsid w:val="00B14DC2"/>
    <w:rsid w:val="00B32284"/>
    <w:rsid w:val="00B4785C"/>
    <w:rsid w:val="00B753E6"/>
    <w:rsid w:val="00B83C4D"/>
    <w:rsid w:val="00B97018"/>
    <w:rsid w:val="00BB1441"/>
    <w:rsid w:val="00BB1A96"/>
    <w:rsid w:val="00BB439D"/>
    <w:rsid w:val="00BD373B"/>
    <w:rsid w:val="00C0381D"/>
    <w:rsid w:val="00C1172E"/>
    <w:rsid w:val="00C202A1"/>
    <w:rsid w:val="00C442AA"/>
    <w:rsid w:val="00C65285"/>
    <w:rsid w:val="00C77563"/>
    <w:rsid w:val="00C87827"/>
    <w:rsid w:val="00CB53BE"/>
    <w:rsid w:val="00CD6B92"/>
    <w:rsid w:val="00CE643E"/>
    <w:rsid w:val="00CE6C10"/>
    <w:rsid w:val="00CE7B8B"/>
    <w:rsid w:val="00D04375"/>
    <w:rsid w:val="00D26461"/>
    <w:rsid w:val="00D5084A"/>
    <w:rsid w:val="00D512F4"/>
    <w:rsid w:val="00D56F10"/>
    <w:rsid w:val="00D60EB7"/>
    <w:rsid w:val="00D634FA"/>
    <w:rsid w:val="00D63FFF"/>
    <w:rsid w:val="00D66979"/>
    <w:rsid w:val="00D868BD"/>
    <w:rsid w:val="00D86F72"/>
    <w:rsid w:val="00D932FA"/>
    <w:rsid w:val="00DC4067"/>
    <w:rsid w:val="00E02073"/>
    <w:rsid w:val="00E03AAC"/>
    <w:rsid w:val="00E03F1D"/>
    <w:rsid w:val="00E3593D"/>
    <w:rsid w:val="00E37422"/>
    <w:rsid w:val="00E4002C"/>
    <w:rsid w:val="00E41D95"/>
    <w:rsid w:val="00E53EC9"/>
    <w:rsid w:val="00E60C53"/>
    <w:rsid w:val="00E75F11"/>
    <w:rsid w:val="00E83F4A"/>
    <w:rsid w:val="00E937F1"/>
    <w:rsid w:val="00E95AFA"/>
    <w:rsid w:val="00EA3333"/>
    <w:rsid w:val="00EB0D9C"/>
    <w:rsid w:val="00ED1880"/>
    <w:rsid w:val="00EE7738"/>
    <w:rsid w:val="00F0142D"/>
    <w:rsid w:val="00F0214E"/>
    <w:rsid w:val="00F13A2E"/>
    <w:rsid w:val="00F367FB"/>
    <w:rsid w:val="00F40B85"/>
    <w:rsid w:val="00F44800"/>
    <w:rsid w:val="00F70B6F"/>
    <w:rsid w:val="00F744A0"/>
    <w:rsid w:val="00FA08FA"/>
    <w:rsid w:val="00FA3421"/>
    <w:rsid w:val="00FB0533"/>
    <w:rsid w:val="00FD6C44"/>
    <w:rsid w:val="00FE35D5"/>
    <w:rsid w:val="00FF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9EA6"/>
  <w15:chartTrackingRefBased/>
  <w15:docId w15:val="{FCC6FBF7-943C-499E-BF85-F916A059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AF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95AFA"/>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6632">
      <w:bodyDiv w:val="1"/>
      <w:marLeft w:val="0"/>
      <w:marRight w:val="0"/>
      <w:marTop w:val="0"/>
      <w:marBottom w:val="0"/>
      <w:divBdr>
        <w:top w:val="none" w:sz="0" w:space="0" w:color="auto"/>
        <w:left w:val="none" w:sz="0" w:space="0" w:color="auto"/>
        <w:bottom w:val="none" w:sz="0" w:space="0" w:color="auto"/>
        <w:right w:val="none" w:sz="0" w:space="0" w:color="auto"/>
      </w:divBdr>
    </w:div>
    <w:div w:id="333801367">
      <w:bodyDiv w:val="1"/>
      <w:marLeft w:val="0"/>
      <w:marRight w:val="0"/>
      <w:marTop w:val="0"/>
      <w:marBottom w:val="0"/>
      <w:divBdr>
        <w:top w:val="none" w:sz="0" w:space="0" w:color="auto"/>
        <w:left w:val="none" w:sz="0" w:space="0" w:color="auto"/>
        <w:bottom w:val="none" w:sz="0" w:space="0" w:color="auto"/>
        <w:right w:val="none" w:sz="0" w:space="0" w:color="auto"/>
      </w:divBdr>
    </w:div>
    <w:div w:id="536432077">
      <w:bodyDiv w:val="1"/>
      <w:marLeft w:val="0"/>
      <w:marRight w:val="0"/>
      <w:marTop w:val="0"/>
      <w:marBottom w:val="0"/>
      <w:divBdr>
        <w:top w:val="none" w:sz="0" w:space="0" w:color="auto"/>
        <w:left w:val="none" w:sz="0" w:space="0" w:color="auto"/>
        <w:bottom w:val="none" w:sz="0" w:space="0" w:color="auto"/>
        <w:right w:val="none" w:sz="0" w:space="0" w:color="auto"/>
      </w:divBdr>
    </w:div>
    <w:div w:id="671183880">
      <w:bodyDiv w:val="1"/>
      <w:marLeft w:val="0"/>
      <w:marRight w:val="0"/>
      <w:marTop w:val="0"/>
      <w:marBottom w:val="0"/>
      <w:divBdr>
        <w:top w:val="none" w:sz="0" w:space="0" w:color="auto"/>
        <w:left w:val="none" w:sz="0" w:space="0" w:color="auto"/>
        <w:bottom w:val="none" w:sz="0" w:space="0" w:color="auto"/>
        <w:right w:val="none" w:sz="0" w:space="0" w:color="auto"/>
      </w:divBdr>
    </w:div>
    <w:div w:id="836727066">
      <w:bodyDiv w:val="1"/>
      <w:marLeft w:val="0"/>
      <w:marRight w:val="0"/>
      <w:marTop w:val="0"/>
      <w:marBottom w:val="0"/>
      <w:divBdr>
        <w:top w:val="none" w:sz="0" w:space="0" w:color="auto"/>
        <w:left w:val="none" w:sz="0" w:space="0" w:color="auto"/>
        <w:bottom w:val="none" w:sz="0" w:space="0" w:color="auto"/>
        <w:right w:val="none" w:sz="0" w:space="0" w:color="auto"/>
      </w:divBdr>
    </w:div>
    <w:div w:id="1125654352">
      <w:bodyDiv w:val="1"/>
      <w:marLeft w:val="0"/>
      <w:marRight w:val="0"/>
      <w:marTop w:val="0"/>
      <w:marBottom w:val="0"/>
      <w:divBdr>
        <w:top w:val="none" w:sz="0" w:space="0" w:color="auto"/>
        <w:left w:val="none" w:sz="0" w:space="0" w:color="auto"/>
        <w:bottom w:val="none" w:sz="0" w:space="0" w:color="auto"/>
        <w:right w:val="none" w:sz="0" w:space="0" w:color="auto"/>
      </w:divBdr>
    </w:div>
    <w:div w:id="1152258635">
      <w:bodyDiv w:val="1"/>
      <w:marLeft w:val="0"/>
      <w:marRight w:val="0"/>
      <w:marTop w:val="0"/>
      <w:marBottom w:val="0"/>
      <w:divBdr>
        <w:top w:val="none" w:sz="0" w:space="0" w:color="auto"/>
        <w:left w:val="none" w:sz="0" w:space="0" w:color="auto"/>
        <w:bottom w:val="none" w:sz="0" w:space="0" w:color="auto"/>
        <w:right w:val="none" w:sz="0" w:space="0" w:color="auto"/>
      </w:divBdr>
    </w:div>
    <w:div w:id="1425833491">
      <w:bodyDiv w:val="1"/>
      <w:marLeft w:val="0"/>
      <w:marRight w:val="0"/>
      <w:marTop w:val="0"/>
      <w:marBottom w:val="0"/>
      <w:divBdr>
        <w:top w:val="none" w:sz="0" w:space="0" w:color="auto"/>
        <w:left w:val="none" w:sz="0" w:space="0" w:color="auto"/>
        <w:bottom w:val="none" w:sz="0" w:space="0" w:color="auto"/>
        <w:right w:val="none" w:sz="0" w:space="0" w:color="auto"/>
      </w:divBdr>
    </w:div>
    <w:div w:id="20091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Jude Children's Research Hospital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DSKMANAGEIT</dc:creator>
  <cp:keywords/>
  <dc:description/>
  <cp:lastModifiedBy>Hu, Shuiying</cp:lastModifiedBy>
  <cp:revision>2</cp:revision>
  <cp:lastPrinted>2011-09-14T18:18:00Z</cp:lastPrinted>
  <dcterms:created xsi:type="dcterms:W3CDTF">2021-02-22T04:39:00Z</dcterms:created>
  <dcterms:modified xsi:type="dcterms:W3CDTF">2021-02-22T04:39:00Z</dcterms:modified>
</cp:coreProperties>
</file>