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5544" w14:textId="0974DBE6" w:rsidR="0079517D" w:rsidRPr="00373065" w:rsidRDefault="00DC5CBB" w:rsidP="009A72A6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DC5CBB">
        <w:rPr>
          <w:rFonts w:eastAsia="Times New Roman" w:cs="Times New Roman"/>
          <w:b/>
          <w:bCs/>
          <w:sz w:val="28"/>
          <w:szCs w:val="28"/>
        </w:rPr>
        <w:t xml:space="preserve">RNA-INDEPENDENT AND METAL ION-DEPENDENT DNA NUCLEASES OF CRISPR-CAS12A </w:t>
      </w:r>
    </w:p>
    <w:p w14:paraId="156ED56E" w14:textId="77777777" w:rsidR="0001690C" w:rsidRPr="00373065" w:rsidRDefault="0001690C" w:rsidP="0001690C">
      <w:pPr>
        <w:rPr>
          <w:rFonts w:cs="Times New Roman"/>
        </w:rPr>
      </w:pPr>
      <w:bookmarkStart w:id="0" w:name="_Hlk27769258"/>
    </w:p>
    <w:bookmarkEnd w:id="0"/>
    <w:p w14:paraId="19098B22" w14:textId="58942131" w:rsidR="00FA5FEF" w:rsidRPr="00373065" w:rsidRDefault="00FA5FEF" w:rsidP="00714CA3">
      <w:pPr>
        <w:rPr>
          <w:rFonts w:cs="Times New Roman"/>
        </w:rPr>
      </w:pPr>
      <w:r w:rsidRPr="00373065">
        <w:rPr>
          <w:rFonts w:cs="Times New Roman"/>
          <w:i/>
          <w:iCs/>
        </w:rPr>
        <w:t>Bin Li</w:t>
      </w: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</w:t>
      </w:r>
      <w:proofErr w:type="spellStart"/>
      <w:r w:rsidRPr="00373065">
        <w:rPr>
          <w:rFonts w:cs="Times New Roman"/>
          <w:i/>
          <w:iCs/>
          <w:u w:val="single"/>
        </w:rPr>
        <w:t>Jingyue</w:t>
      </w:r>
      <w:proofErr w:type="spellEnd"/>
      <w:r w:rsidRPr="00373065">
        <w:rPr>
          <w:rFonts w:cs="Times New Roman"/>
          <w:i/>
          <w:iCs/>
          <w:u w:val="single"/>
        </w:rPr>
        <w:t xml:space="preserve"> Yan</w:t>
      </w:r>
      <w:r w:rsidRPr="00373065">
        <w:rPr>
          <w:rFonts w:cs="Times New Roman"/>
          <w:i/>
          <w:iCs/>
          <w:u w:val="single"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</w:t>
      </w:r>
      <w:proofErr w:type="spellStart"/>
      <w:r w:rsidRPr="00373065">
        <w:rPr>
          <w:rFonts w:cs="Times New Roman"/>
          <w:i/>
          <w:iCs/>
        </w:rPr>
        <w:t>Youxi</w:t>
      </w:r>
      <w:proofErr w:type="spellEnd"/>
      <w:r w:rsidRPr="00373065">
        <w:rPr>
          <w:rFonts w:cs="Times New Roman"/>
          <w:i/>
          <w:iCs/>
        </w:rPr>
        <w:t xml:space="preserve"> Zhang</w:t>
      </w: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</w:t>
      </w:r>
      <w:proofErr w:type="spellStart"/>
      <w:r w:rsidRPr="00373065">
        <w:rPr>
          <w:rFonts w:cs="Times New Roman"/>
          <w:i/>
          <w:iCs/>
        </w:rPr>
        <w:t>Wenqing</w:t>
      </w:r>
      <w:proofErr w:type="spellEnd"/>
      <w:r w:rsidRPr="00373065">
        <w:rPr>
          <w:rFonts w:cs="Times New Roman"/>
          <w:i/>
          <w:iCs/>
        </w:rPr>
        <w:t xml:space="preserve"> Li</w:t>
      </w: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</w:t>
      </w:r>
      <w:proofErr w:type="spellStart"/>
      <w:r w:rsidRPr="00373065">
        <w:rPr>
          <w:rFonts w:cs="Times New Roman"/>
          <w:i/>
          <w:iCs/>
        </w:rPr>
        <w:t>Chunxi</w:t>
      </w:r>
      <w:proofErr w:type="spellEnd"/>
      <w:r w:rsidRPr="00373065">
        <w:rPr>
          <w:rFonts w:cs="Times New Roman"/>
          <w:i/>
          <w:iCs/>
        </w:rPr>
        <w:t xml:space="preserve"> Zeng</w:t>
      </w: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</w:t>
      </w:r>
      <w:proofErr w:type="spellStart"/>
      <w:r w:rsidRPr="00373065">
        <w:rPr>
          <w:rFonts w:cs="Times New Roman"/>
          <w:i/>
          <w:iCs/>
        </w:rPr>
        <w:t>Weiyu</w:t>
      </w:r>
      <w:proofErr w:type="spellEnd"/>
      <w:r w:rsidRPr="00373065">
        <w:rPr>
          <w:rFonts w:cs="Times New Roman"/>
          <w:i/>
          <w:iCs/>
        </w:rPr>
        <w:t xml:space="preserve"> Zhao</w:t>
      </w: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</w:t>
      </w:r>
      <w:proofErr w:type="spellStart"/>
      <w:r w:rsidRPr="00373065">
        <w:rPr>
          <w:rFonts w:cs="Times New Roman"/>
          <w:i/>
          <w:iCs/>
        </w:rPr>
        <w:t>Xucheng</w:t>
      </w:r>
      <w:proofErr w:type="spellEnd"/>
      <w:r w:rsidRPr="00373065">
        <w:rPr>
          <w:rFonts w:cs="Times New Roman"/>
          <w:i/>
          <w:iCs/>
        </w:rPr>
        <w:t xml:space="preserve"> Hou</w:t>
      </w: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</w:t>
      </w:r>
      <w:proofErr w:type="spellStart"/>
      <w:r w:rsidRPr="00373065">
        <w:rPr>
          <w:rFonts w:cs="Times New Roman"/>
          <w:i/>
          <w:iCs/>
        </w:rPr>
        <w:t>Chengxiang</w:t>
      </w:r>
      <w:proofErr w:type="spellEnd"/>
      <w:r w:rsidRPr="00373065">
        <w:rPr>
          <w:rFonts w:cs="Times New Roman"/>
          <w:i/>
          <w:iCs/>
        </w:rPr>
        <w:t xml:space="preserve"> Zhang</w:t>
      </w: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 xml:space="preserve">, and </w:t>
      </w:r>
      <w:proofErr w:type="spellStart"/>
      <w:r w:rsidRPr="00373065">
        <w:rPr>
          <w:rFonts w:cs="Times New Roman"/>
          <w:i/>
          <w:iCs/>
        </w:rPr>
        <w:t>Yizhou</w:t>
      </w:r>
      <w:proofErr w:type="spellEnd"/>
      <w:r w:rsidRPr="00373065">
        <w:rPr>
          <w:rFonts w:cs="Times New Roman"/>
          <w:i/>
          <w:iCs/>
        </w:rPr>
        <w:t xml:space="preserve"> Dong</w:t>
      </w:r>
      <w:r w:rsidRPr="00373065">
        <w:rPr>
          <w:rFonts w:cs="Times New Roman"/>
          <w:i/>
          <w:iCs/>
          <w:vertAlign w:val="superscript"/>
        </w:rPr>
        <w:t>1</w:t>
      </w:r>
    </w:p>
    <w:p w14:paraId="1E2B650E" w14:textId="0FE6CA95" w:rsidR="00FA5FEF" w:rsidRPr="00373065" w:rsidRDefault="00FA5FEF" w:rsidP="00714CA3">
      <w:pPr>
        <w:rPr>
          <w:rFonts w:cs="Times New Roman"/>
          <w:i/>
          <w:iCs/>
        </w:rPr>
      </w:pPr>
      <w:r w:rsidRPr="00373065">
        <w:rPr>
          <w:rFonts w:cs="Times New Roman"/>
          <w:i/>
          <w:iCs/>
          <w:vertAlign w:val="superscript"/>
        </w:rPr>
        <w:t>1</w:t>
      </w:r>
      <w:r w:rsidRPr="00373065">
        <w:rPr>
          <w:rFonts w:cs="Times New Roman"/>
          <w:i/>
          <w:iCs/>
        </w:rPr>
        <w:t>Division of Pharmaceutics and Pharmacology, College of Pharmacy, The Ohio State University, Columbus, OH 43210, USA</w:t>
      </w:r>
    </w:p>
    <w:p w14:paraId="5CA486A4" w14:textId="2ECE3532" w:rsidR="00E874D8" w:rsidRPr="00373065" w:rsidRDefault="00E874D8" w:rsidP="009A72A6">
      <w:pPr>
        <w:jc w:val="both"/>
        <w:rPr>
          <w:rFonts w:eastAsia="Times New Roman" w:cs="Times New Roman"/>
        </w:rPr>
      </w:pPr>
    </w:p>
    <w:p w14:paraId="3B9AAEC8" w14:textId="45BDDCD2" w:rsidR="00E874D8" w:rsidRPr="00373065" w:rsidRDefault="00246BED" w:rsidP="009A72A6">
      <w:pPr>
        <w:jc w:val="both"/>
        <w:rPr>
          <w:rFonts w:eastAsia="Times New Roman" w:cs="Times New Roman"/>
        </w:rPr>
      </w:pPr>
      <w:r w:rsidRPr="00373065">
        <w:rPr>
          <w:rFonts w:eastAsia="Times New Roman" w:cs="Times New Roman"/>
        </w:rPr>
        <w:t xml:space="preserve">CRISPR-Cas12a </w:t>
      </w:r>
      <w:r w:rsidR="008537DA" w:rsidRPr="00373065">
        <w:rPr>
          <w:rFonts w:eastAsia="Times New Roman" w:cs="Times New Roman"/>
        </w:rPr>
        <w:t>is recognized as a promising tool for genome editing in addition to the well-studied CRISPR-Cas9</w:t>
      </w:r>
      <w:r w:rsidR="003D3BB3" w:rsidRPr="00373065">
        <w:rPr>
          <w:rFonts w:eastAsia="Times New Roman" w:cs="Times New Roman"/>
        </w:rPr>
        <w:t xml:space="preserve">. </w:t>
      </w:r>
      <w:r w:rsidR="003559E9" w:rsidRPr="00373065">
        <w:rPr>
          <w:rFonts w:eastAsia="Times New Roman" w:cs="Times New Roman"/>
        </w:rPr>
        <w:t>Cas12a systems use a</w:t>
      </w:r>
      <w:r w:rsidR="0088576D" w:rsidRPr="00373065">
        <w:rPr>
          <w:rFonts w:eastAsia="Times New Roman" w:cs="Times New Roman"/>
        </w:rPr>
        <w:t xml:space="preserve"> </w:t>
      </w:r>
      <w:r w:rsidR="00E66305" w:rsidRPr="00373065">
        <w:rPr>
          <w:rFonts w:eastAsia="Times New Roman" w:cs="Times New Roman"/>
        </w:rPr>
        <w:t xml:space="preserve">single CRISPR RNA (crRNA) molecule and </w:t>
      </w:r>
      <w:r w:rsidR="00810E10" w:rsidRPr="00373065">
        <w:rPr>
          <w:rFonts w:eastAsia="Times New Roman" w:cs="Times New Roman"/>
        </w:rPr>
        <w:t xml:space="preserve">a single catalytic domain </w:t>
      </w:r>
      <w:proofErr w:type="spellStart"/>
      <w:r w:rsidR="00810E10" w:rsidRPr="00373065">
        <w:rPr>
          <w:rFonts w:eastAsia="Times New Roman" w:cs="Times New Roman"/>
        </w:rPr>
        <w:t>RuvC</w:t>
      </w:r>
      <w:proofErr w:type="spellEnd"/>
      <w:r w:rsidR="00810E10" w:rsidRPr="00373065">
        <w:rPr>
          <w:rFonts w:eastAsia="Times New Roman" w:cs="Times New Roman"/>
        </w:rPr>
        <w:t xml:space="preserve"> for guided double-strand DNA (dsDNA) cleavage</w:t>
      </w:r>
      <w:r w:rsidR="00E66305" w:rsidRPr="00373065">
        <w:rPr>
          <w:rFonts w:eastAsia="Times New Roman" w:cs="Times New Roman"/>
        </w:rPr>
        <w:t xml:space="preserve">. </w:t>
      </w:r>
      <w:r w:rsidR="00810E10" w:rsidRPr="00373065">
        <w:rPr>
          <w:rFonts w:eastAsia="Times New Roman" w:cs="Times New Roman"/>
        </w:rPr>
        <w:t xml:space="preserve">However, this RNA-guided DNA binding not only targets specific dsDNA sequences, but also unleashes indiscriminate single-strand DNA (ssDNA) cleavage. </w:t>
      </w:r>
      <w:r w:rsidR="00AD4B33" w:rsidRPr="00373065">
        <w:rPr>
          <w:rFonts w:eastAsia="Times New Roman" w:cs="Times New Roman"/>
        </w:rPr>
        <w:t xml:space="preserve">In addition, </w:t>
      </w:r>
      <w:bookmarkStart w:id="1" w:name="OLE_LINK5"/>
      <w:bookmarkStart w:id="2" w:name="OLE_LINK6"/>
      <w:r w:rsidR="00AD4B33" w:rsidRPr="00373065">
        <w:rPr>
          <w:rFonts w:eastAsia="Times New Roman" w:cs="Times New Roman"/>
        </w:rPr>
        <w:t>we previously observed that</w:t>
      </w:r>
      <w:r w:rsidR="00530BCC" w:rsidRPr="00373065">
        <w:rPr>
          <w:rFonts w:eastAsia="Times New Roman" w:cs="Times New Roman"/>
        </w:rPr>
        <w:t xml:space="preserve"> </w:t>
      </w:r>
      <w:proofErr w:type="spellStart"/>
      <w:r w:rsidR="00530BCC" w:rsidRPr="00373065">
        <w:rPr>
          <w:rFonts w:eastAsia="Times New Roman" w:cs="Times New Roman"/>
          <w:i/>
        </w:rPr>
        <w:t>Acidaminococcus</w:t>
      </w:r>
      <w:proofErr w:type="spellEnd"/>
      <w:r w:rsidR="00530BCC" w:rsidRPr="00373065">
        <w:rPr>
          <w:rFonts w:eastAsia="Times New Roman" w:cs="Times New Roman"/>
          <w:i/>
        </w:rPr>
        <w:t xml:space="preserve"> sp</w:t>
      </w:r>
      <w:r w:rsidR="00530BCC" w:rsidRPr="00373065">
        <w:rPr>
          <w:rFonts w:eastAsia="Times New Roman" w:cs="Times New Roman"/>
        </w:rPr>
        <w:t xml:space="preserve">. Cas12a (AsCas12a) </w:t>
      </w:r>
      <w:r w:rsidR="0025719B" w:rsidRPr="00373065">
        <w:rPr>
          <w:rFonts w:eastAsia="Times New Roman" w:cs="Times New Roman"/>
        </w:rPr>
        <w:t xml:space="preserve">mediates </w:t>
      </w:r>
      <w:r w:rsidR="00530BCC" w:rsidRPr="00373065">
        <w:rPr>
          <w:rFonts w:eastAsia="Times New Roman" w:cs="Times New Roman"/>
        </w:rPr>
        <w:t xml:space="preserve">strong </w:t>
      </w:r>
      <w:proofErr w:type="spellStart"/>
      <w:r w:rsidR="00530BCC" w:rsidRPr="00373065">
        <w:rPr>
          <w:rFonts w:eastAsia="Times New Roman" w:cs="Times New Roman"/>
        </w:rPr>
        <w:t>ssDNase</w:t>
      </w:r>
      <w:proofErr w:type="spellEnd"/>
      <w:r w:rsidR="00530BCC" w:rsidRPr="00373065">
        <w:rPr>
          <w:rFonts w:eastAsia="Times New Roman" w:cs="Times New Roman"/>
        </w:rPr>
        <w:t xml:space="preserve"> activity in divalent magnesium ions (Mg</w:t>
      </w:r>
      <w:r w:rsidR="00530BCC" w:rsidRPr="00373065">
        <w:rPr>
          <w:rFonts w:eastAsia="Times New Roman" w:cs="Times New Roman"/>
          <w:vertAlign w:val="superscript"/>
        </w:rPr>
        <w:t>2+</w:t>
      </w:r>
      <w:r w:rsidR="00530BCC" w:rsidRPr="00373065">
        <w:rPr>
          <w:rFonts w:eastAsia="Times New Roman" w:cs="Times New Roman"/>
        </w:rPr>
        <w:t>)-containing environment,</w:t>
      </w:r>
      <w:bookmarkEnd w:id="1"/>
      <w:bookmarkEnd w:id="2"/>
      <w:r w:rsidR="00530BCC" w:rsidRPr="00373065">
        <w:rPr>
          <w:rFonts w:eastAsia="Times New Roman" w:cs="Times New Roman"/>
        </w:rPr>
        <w:t xml:space="preserve"> </w:t>
      </w:r>
      <w:r w:rsidR="009656EC" w:rsidRPr="00373065">
        <w:rPr>
          <w:rFonts w:eastAsia="Times New Roman" w:cs="Times New Roman"/>
        </w:rPr>
        <w:t>while</w:t>
      </w:r>
      <w:r w:rsidR="00530BCC" w:rsidRPr="00373065">
        <w:rPr>
          <w:rFonts w:eastAsia="Times New Roman" w:cs="Times New Roman"/>
        </w:rPr>
        <w:t xml:space="preserve"> </w:t>
      </w:r>
      <w:proofErr w:type="spellStart"/>
      <w:r w:rsidR="007F1A31" w:rsidRPr="00373065">
        <w:rPr>
          <w:rFonts w:eastAsia="Times New Roman" w:cs="Times New Roman"/>
          <w:i/>
        </w:rPr>
        <w:t>Francisella</w:t>
      </w:r>
      <w:proofErr w:type="spellEnd"/>
      <w:r w:rsidR="007F1A31" w:rsidRPr="00373065">
        <w:rPr>
          <w:rFonts w:eastAsia="Times New Roman" w:cs="Times New Roman"/>
          <w:i/>
        </w:rPr>
        <w:t xml:space="preserve"> </w:t>
      </w:r>
      <w:proofErr w:type="spellStart"/>
      <w:r w:rsidR="007F1A31" w:rsidRPr="00373065">
        <w:rPr>
          <w:rFonts w:eastAsia="Times New Roman" w:cs="Times New Roman"/>
          <w:i/>
        </w:rPr>
        <w:t>novicida</w:t>
      </w:r>
      <w:proofErr w:type="spellEnd"/>
      <w:r w:rsidR="007F1A31" w:rsidRPr="00373065">
        <w:rPr>
          <w:rFonts w:eastAsia="Times New Roman" w:cs="Times New Roman"/>
        </w:rPr>
        <w:t xml:space="preserve"> Cas12a (</w:t>
      </w:r>
      <w:r w:rsidR="00530BCC" w:rsidRPr="00373065">
        <w:rPr>
          <w:rFonts w:eastAsia="Times New Roman" w:cs="Times New Roman"/>
        </w:rPr>
        <w:t>FnCas12a</w:t>
      </w:r>
      <w:r w:rsidR="007F1A31" w:rsidRPr="00373065">
        <w:rPr>
          <w:rFonts w:eastAsia="Times New Roman" w:cs="Times New Roman"/>
        </w:rPr>
        <w:t>)</w:t>
      </w:r>
      <w:r w:rsidR="00530BCC" w:rsidRPr="00373065">
        <w:rPr>
          <w:rFonts w:eastAsia="Times New Roman" w:cs="Times New Roman"/>
        </w:rPr>
        <w:t xml:space="preserve"> </w:t>
      </w:r>
      <w:r w:rsidR="009656EC" w:rsidRPr="00373065">
        <w:rPr>
          <w:rFonts w:eastAsia="Times New Roman" w:cs="Times New Roman"/>
        </w:rPr>
        <w:t>does</w:t>
      </w:r>
      <w:r w:rsidR="0063653C" w:rsidRPr="00373065">
        <w:rPr>
          <w:rFonts w:eastAsia="Times New Roman" w:cs="Times New Roman"/>
        </w:rPr>
        <w:t xml:space="preserve"> not</w:t>
      </w:r>
      <w:r w:rsidR="00530BCC" w:rsidRPr="00373065">
        <w:rPr>
          <w:rFonts w:eastAsia="Times New Roman" w:cs="Times New Roman"/>
        </w:rPr>
        <w:t xml:space="preserve">. </w:t>
      </w:r>
      <w:r w:rsidR="0048506B" w:rsidRPr="00373065">
        <w:rPr>
          <w:rFonts w:eastAsia="Times New Roman" w:cs="Times New Roman"/>
        </w:rPr>
        <w:t xml:space="preserve">To fully </w:t>
      </w:r>
      <w:r w:rsidR="005C050F" w:rsidRPr="00373065">
        <w:rPr>
          <w:rFonts w:eastAsia="Times New Roman" w:cs="Times New Roman"/>
        </w:rPr>
        <w:t xml:space="preserve">understand the substrate specificity and DNA cleavage pattern </w:t>
      </w:r>
      <w:r w:rsidR="00B6496D" w:rsidRPr="00373065">
        <w:rPr>
          <w:rFonts w:eastAsia="Times New Roman" w:cs="Times New Roman"/>
        </w:rPr>
        <w:t>in the absence of</w:t>
      </w:r>
      <w:r w:rsidR="005C050F" w:rsidRPr="00373065">
        <w:rPr>
          <w:rFonts w:eastAsia="Times New Roman" w:cs="Times New Roman"/>
        </w:rPr>
        <w:t xml:space="preserve"> crRNA</w:t>
      </w:r>
      <w:r w:rsidR="007F1CA0" w:rsidRPr="00373065">
        <w:rPr>
          <w:rFonts w:eastAsia="Times New Roman" w:cs="Times New Roman"/>
        </w:rPr>
        <w:t>,</w:t>
      </w:r>
      <w:r w:rsidR="00AE54D8" w:rsidRPr="00373065">
        <w:rPr>
          <w:rFonts w:eastAsia="Times New Roman" w:cs="Times New Roman"/>
        </w:rPr>
        <w:t xml:space="preserve"> we </w:t>
      </w:r>
      <w:r w:rsidR="003035EC" w:rsidRPr="00373065">
        <w:rPr>
          <w:rFonts w:eastAsia="Times New Roman" w:cs="Times New Roman"/>
        </w:rPr>
        <w:t>detected</w:t>
      </w:r>
      <w:r w:rsidR="00426950" w:rsidRPr="00373065">
        <w:rPr>
          <w:rFonts w:eastAsia="Times New Roman" w:cs="Times New Roman"/>
        </w:rPr>
        <w:t xml:space="preserve"> the DNA </w:t>
      </w:r>
      <w:r w:rsidR="00C7518E" w:rsidRPr="00373065">
        <w:rPr>
          <w:rFonts w:eastAsia="Times New Roman" w:cs="Times New Roman"/>
        </w:rPr>
        <w:t xml:space="preserve">substrate </w:t>
      </w:r>
      <w:r w:rsidR="00426950" w:rsidRPr="00373065">
        <w:rPr>
          <w:rFonts w:eastAsia="Times New Roman" w:cs="Times New Roman"/>
        </w:rPr>
        <w:t xml:space="preserve">cleavage activity using gel electrophoresis </w:t>
      </w:r>
      <w:r w:rsidR="007C06F0" w:rsidRPr="00373065">
        <w:rPr>
          <w:rFonts w:eastAsia="Times New Roman" w:cs="Times New Roman"/>
        </w:rPr>
        <w:t xml:space="preserve">after </w:t>
      </w:r>
      <w:r w:rsidR="00AE54D8" w:rsidRPr="00373065">
        <w:rPr>
          <w:rFonts w:eastAsia="Times New Roman" w:cs="Times New Roman"/>
        </w:rPr>
        <w:t>co-incubat</w:t>
      </w:r>
      <w:r w:rsidR="007C06F0" w:rsidRPr="00373065">
        <w:rPr>
          <w:rFonts w:eastAsia="Times New Roman" w:cs="Times New Roman"/>
        </w:rPr>
        <w:t xml:space="preserve">ion </w:t>
      </w:r>
      <w:r w:rsidR="004B6B76" w:rsidRPr="00373065">
        <w:rPr>
          <w:rFonts w:eastAsia="Times New Roman" w:cs="Times New Roman"/>
        </w:rPr>
        <w:t>with Cas12a orthologs in a buffer containin</w:t>
      </w:r>
      <w:r w:rsidR="00AE54D8" w:rsidRPr="00373065">
        <w:rPr>
          <w:rFonts w:eastAsia="Times New Roman" w:cs="Times New Roman"/>
        </w:rPr>
        <w:t xml:space="preserve">g </w:t>
      </w:r>
      <w:r w:rsidR="009B1605" w:rsidRPr="00373065">
        <w:rPr>
          <w:rFonts w:eastAsia="Times New Roman" w:cs="Times New Roman"/>
        </w:rPr>
        <w:t>divalent metal ions</w:t>
      </w:r>
      <w:r w:rsidR="00ED343A" w:rsidRPr="00373065">
        <w:rPr>
          <w:rFonts w:eastAsia="Times New Roman" w:cs="Times New Roman"/>
        </w:rPr>
        <w:t>.</w:t>
      </w:r>
      <w:r w:rsidR="00850050" w:rsidRPr="00373065">
        <w:rPr>
          <w:rFonts w:eastAsia="Times New Roman" w:cs="Times New Roman"/>
        </w:rPr>
        <w:t xml:space="preserve"> Specifically</w:t>
      </w:r>
      <w:r w:rsidR="0055384D" w:rsidRPr="00373065">
        <w:rPr>
          <w:rFonts w:eastAsia="Times New Roman" w:cs="Times New Roman"/>
        </w:rPr>
        <w:t xml:space="preserve">, we </w:t>
      </w:r>
      <w:r w:rsidR="00930F02" w:rsidRPr="00373065">
        <w:rPr>
          <w:rFonts w:eastAsia="Times New Roman" w:cs="Times New Roman"/>
        </w:rPr>
        <w:t>focused on</w:t>
      </w:r>
      <w:r w:rsidR="00794497" w:rsidRPr="00373065">
        <w:rPr>
          <w:rFonts w:eastAsia="Times New Roman" w:cs="Times New Roman"/>
        </w:rPr>
        <w:t xml:space="preserve"> the</w:t>
      </w:r>
      <w:r w:rsidR="009A0D92" w:rsidRPr="00373065">
        <w:rPr>
          <w:rFonts w:eastAsia="Times New Roman" w:cs="Times New Roman"/>
        </w:rPr>
        <w:t xml:space="preserve"> impacts of</w:t>
      </w:r>
      <w:r w:rsidR="00794497" w:rsidRPr="00373065">
        <w:rPr>
          <w:rFonts w:eastAsia="Times New Roman" w:cs="Times New Roman"/>
        </w:rPr>
        <w:t xml:space="preserve"> </w:t>
      </w:r>
      <w:r w:rsidR="005F3267" w:rsidRPr="00373065">
        <w:rPr>
          <w:rFonts w:eastAsia="Times New Roman" w:cs="Times New Roman"/>
        </w:rPr>
        <w:t>Cas12a orthologs (AsCas12a, LbCas12a or FnCas12a)</w:t>
      </w:r>
      <w:r w:rsidR="00850050" w:rsidRPr="00373065">
        <w:rPr>
          <w:rFonts w:eastAsia="Times New Roman" w:cs="Times New Roman"/>
        </w:rPr>
        <w:t xml:space="preserve">, </w:t>
      </w:r>
      <w:r w:rsidR="00A83D30" w:rsidRPr="00373065">
        <w:rPr>
          <w:rFonts w:eastAsia="Times New Roman" w:cs="Times New Roman"/>
        </w:rPr>
        <w:t>substrate specificity (ssDNA or dsDNA; linear or circular)</w:t>
      </w:r>
      <w:r w:rsidR="00477E68" w:rsidRPr="00373065">
        <w:rPr>
          <w:rFonts w:eastAsia="Times New Roman" w:cs="Times New Roman"/>
        </w:rPr>
        <w:t xml:space="preserve">, </w:t>
      </w:r>
      <w:r w:rsidR="002D5AE6" w:rsidRPr="00373065">
        <w:rPr>
          <w:rFonts w:eastAsia="Times New Roman" w:cs="Times New Roman"/>
        </w:rPr>
        <w:t>m</w:t>
      </w:r>
      <w:r w:rsidR="00D936C3" w:rsidRPr="00373065">
        <w:rPr>
          <w:rFonts w:eastAsia="Times New Roman" w:cs="Times New Roman"/>
        </w:rPr>
        <w:t xml:space="preserve">etal ion </w:t>
      </w:r>
      <w:r w:rsidR="00500E14" w:rsidRPr="00373065">
        <w:rPr>
          <w:rFonts w:eastAsia="Times New Roman" w:cs="Times New Roman"/>
        </w:rPr>
        <w:t>type</w:t>
      </w:r>
      <w:r w:rsidR="00BD1C12" w:rsidRPr="00373065">
        <w:rPr>
          <w:rFonts w:eastAsia="Times New Roman" w:cs="Times New Roman"/>
        </w:rPr>
        <w:t>s</w:t>
      </w:r>
      <w:r w:rsidR="00500E14" w:rsidRPr="00373065">
        <w:rPr>
          <w:rFonts w:eastAsia="Times New Roman" w:cs="Times New Roman"/>
        </w:rPr>
        <w:t xml:space="preserve"> (Mg</w:t>
      </w:r>
      <w:r w:rsidR="00500E14" w:rsidRPr="00373065">
        <w:rPr>
          <w:rFonts w:eastAsia="Times New Roman" w:cs="Times New Roman"/>
          <w:vertAlign w:val="superscript"/>
        </w:rPr>
        <w:t>2+</w:t>
      </w:r>
      <w:r w:rsidR="00500E14" w:rsidRPr="00373065">
        <w:rPr>
          <w:rFonts w:eastAsia="Times New Roman" w:cs="Times New Roman"/>
        </w:rPr>
        <w:t>, Mn</w:t>
      </w:r>
      <w:r w:rsidR="00500E14" w:rsidRPr="00373065">
        <w:rPr>
          <w:rFonts w:eastAsia="Times New Roman" w:cs="Times New Roman"/>
          <w:vertAlign w:val="superscript"/>
        </w:rPr>
        <w:t>2+</w:t>
      </w:r>
      <w:r w:rsidR="00500E14" w:rsidRPr="00373065">
        <w:rPr>
          <w:rFonts w:eastAsia="Times New Roman" w:cs="Times New Roman"/>
        </w:rPr>
        <w:t>, Co</w:t>
      </w:r>
      <w:r w:rsidR="00500E14" w:rsidRPr="00373065">
        <w:rPr>
          <w:rFonts w:eastAsia="Times New Roman" w:cs="Times New Roman"/>
          <w:vertAlign w:val="superscript"/>
        </w:rPr>
        <w:t>2+</w:t>
      </w:r>
      <w:r w:rsidR="00500E14" w:rsidRPr="00373065">
        <w:rPr>
          <w:rFonts w:eastAsia="Times New Roman" w:cs="Times New Roman"/>
        </w:rPr>
        <w:t>, Ca</w:t>
      </w:r>
      <w:r w:rsidR="00500E14" w:rsidRPr="00373065">
        <w:rPr>
          <w:rFonts w:eastAsia="Times New Roman" w:cs="Times New Roman"/>
          <w:vertAlign w:val="superscript"/>
        </w:rPr>
        <w:t>2+</w:t>
      </w:r>
      <w:r w:rsidR="00500E14" w:rsidRPr="00373065">
        <w:rPr>
          <w:rFonts w:eastAsia="Times New Roman" w:cs="Times New Roman"/>
        </w:rPr>
        <w:t>, Cu</w:t>
      </w:r>
      <w:r w:rsidR="00500E14" w:rsidRPr="00373065">
        <w:rPr>
          <w:rFonts w:eastAsia="Times New Roman" w:cs="Times New Roman"/>
          <w:vertAlign w:val="superscript"/>
        </w:rPr>
        <w:t>2+</w:t>
      </w:r>
      <w:r w:rsidR="00500E14" w:rsidRPr="00373065">
        <w:rPr>
          <w:rFonts w:eastAsia="Times New Roman" w:cs="Times New Roman"/>
        </w:rPr>
        <w:t>, Ni</w:t>
      </w:r>
      <w:r w:rsidR="00500E14" w:rsidRPr="00373065">
        <w:rPr>
          <w:rFonts w:eastAsia="Times New Roman" w:cs="Times New Roman"/>
          <w:vertAlign w:val="superscript"/>
        </w:rPr>
        <w:t>2+</w:t>
      </w:r>
      <w:r w:rsidR="00500E14" w:rsidRPr="00373065">
        <w:rPr>
          <w:rFonts w:eastAsia="Times New Roman" w:cs="Times New Roman"/>
        </w:rPr>
        <w:t>, and Zn</w:t>
      </w:r>
      <w:r w:rsidR="00500E14" w:rsidRPr="00373065">
        <w:rPr>
          <w:rFonts w:eastAsia="Times New Roman" w:cs="Times New Roman"/>
          <w:vertAlign w:val="superscript"/>
        </w:rPr>
        <w:t>2+</w:t>
      </w:r>
      <w:r w:rsidR="00500E14" w:rsidRPr="00373065">
        <w:rPr>
          <w:rFonts w:eastAsia="Times New Roman" w:cs="Times New Roman"/>
        </w:rPr>
        <w:t>)</w:t>
      </w:r>
      <w:r w:rsidR="00557168" w:rsidRPr="00373065">
        <w:rPr>
          <w:rFonts w:eastAsia="Times New Roman" w:cs="Times New Roman"/>
        </w:rPr>
        <w:t xml:space="preserve"> and concentration (</w:t>
      </w:r>
      <w:r w:rsidR="000C43F6" w:rsidRPr="00373065">
        <w:rPr>
          <w:rFonts w:eastAsia="Times New Roman" w:cs="Times New Roman"/>
        </w:rPr>
        <w:t>0.2-10 mM</w:t>
      </w:r>
      <w:r w:rsidR="00557168" w:rsidRPr="00373065">
        <w:rPr>
          <w:rFonts w:eastAsia="Times New Roman" w:cs="Times New Roman"/>
        </w:rPr>
        <w:t>)</w:t>
      </w:r>
      <w:r w:rsidR="004C4380" w:rsidRPr="00373065">
        <w:rPr>
          <w:rFonts w:eastAsia="Times New Roman" w:cs="Times New Roman"/>
        </w:rPr>
        <w:t xml:space="preserve">, </w:t>
      </w:r>
      <w:r w:rsidR="00157AE1" w:rsidRPr="00373065">
        <w:rPr>
          <w:rFonts w:eastAsia="Times New Roman" w:cs="Times New Roman"/>
        </w:rPr>
        <w:t xml:space="preserve">and </w:t>
      </w:r>
      <w:r w:rsidR="002F1F4C" w:rsidRPr="00373065">
        <w:rPr>
          <w:rFonts w:eastAsia="Times New Roman" w:cs="Times New Roman"/>
        </w:rPr>
        <w:t xml:space="preserve">the </w:t>
      </w:r>
      <w:r w:rsidR="0078360D" w:rsidRPr="00373065">
        <w:rPr>
          <w:rFonts w:eastAsia="Times New Roman" w:cs="Times New Roman"/>
        </w:rPr>
        <w:t xml:space="preserve">time course of </w:t>
      </w:r>
      <w:r w:rsidR="00157AE1" w:rsidRPr="00373065">
        <w:rPr>
          <w:rFonts w:eastAsia="Times New Roman" w:cs="Times New Roman"/>
        </w:rPr>
        <w:t xml:space="preserve">DNA </w:t>
      </w:r>
      <w:r w:rsidR="0078360D" w:rsidRPr="00373065">
        <w:rPr>
          <w:rFonts w:eastAsia="Times New Roman" w:cs="Times New Roman"/>
        </w:rPr>
        <w:t xml:space="preserve">degradation </w:t>
      </w:r>
      <w:r w:rsidR="00650819" w:rsidRPr="00373065">
        <w:rPr>
          <w:rFonts w:eastAsia="Times New Roman" w:cs="Times New Roman"/>
        </w:rPr>
        <w:t>(1-60 min)</w:t>
      </w:r>
      <w:r w:rsidR="00812E18" w:rsidRPr="00373065">
        <w:rPr>
          <w:rFonts w:eastAsia="Times New Roman" w:cs="Times New Roman"/>
        </w:rPr>
        <w:t xml:space="preserve">. </w:t>
      </w:r>
      <w:r w:rsidR="00F138AD" w:rsidRPr="00373065">
        <w:rPr>
          <w:rFonts w:eastAsia="Times New Roman" w:cs="Times New Roman"/>
        </w:rPr>
        <w:t xml:space="preserve">We also </w:t>
      </w:r>
      <w:r w:rsidR="005D0AA4" w:rsidRPr="00373065">
        <w:rPr>
          <w:rFonts w:eastAsia="Times New Roman" w:cs="Times New Roman"/>
        </w:rPr>
        <w:t xml:space="preserve">investigated the </w:t>
      </w:r>
      <w:r w:rsidR="0026460A" w:rsidRPr="00373065">
        <w:rPr>
          <w:rFonts w:eastAsia="Times New Roman" w:cs="Times New Roman"/>
        </w:rPr>
        <w:t xml:space="preserve">inhibition of the Cas12a-mediated DNase activity by </w:t>
      </w:r>
      <w:r w:rsidR="00FA690E" w:rsidRPr="00373065">
        <w:rPr>
          <w:rFonts w:eastAsia="Times New Roman" w:cs="Times New Roman"/>
        </w:rPr>
        <w:t>incorporating</w:t>
      </w:r>
      <w:r w:rsidR="0026460A" w:rsidRPr="00373065">
        <w:rPr>
          <w:rFonts w:eastAsia="Times New Roman" w:cs="Times New Roman"/>
        </w:rPr>
        <w:t xml:space="preserve"> </w:t>
      </w:r>
      <w:r w:rsidR="00AB5360" w:rsidRPr="00373065">
        <w:rPr>
          <w:rFonts w:eastAsia="Times New Roman" w:cs="Times New Roman"/>
        </w:rPr>
        <w:t xml:space="preserve">anti-Cas12a </w:t>
      </w:r>
      <w:proofErr w:type="spellStart"/>
      <w:r w:rsidR="00F6556F" w:rsidRPr="00373065">
        <w:rPr>
          <w:rFonts w:eastAsia="Times New Roman" w:cs="Times New Roman"/>
        </w:rPr>
        <w:t>phosphorothioate</w:t>
      </w:r>
      <w:proofErr w:type="spellEnd"/>
      <w:r w:rsidR="00F6556F" w:rsidRPr="00373065">
        <w:rPr>
          <w:rFonts w:eastAsia="Times New Roman" w:cs="Times New Roman"/>
        </w:rPr>
        <w:t xml:space="preserve"> modified DNA (</w:t>
      </w:r>
      <w:proofErr w:type="spellStart"/>
      <w:r w:rsidR="00AB5360" w:rsidRPr="00373065">
        <w:rPr>
          <w:rFonts w:eastAsia="Times New Roman" w:cs="Times New Roman"/>
        </w:rPr>
        <w:t>psDNA</w:t>
      </w:r>
      <w:proofErr w:type="spellEnd"/>
      <w:r w:rsidR="00F6556F" w:rsidRPr="00373065">
        <w:rPr>
          <w:rFonts w:eastAsia="Times New Roman" w:cs="Times New Roman"/>
        </w:rPr>
        <w:t xml:space="preserve">) </w:t>
      </w:r>
      <w:r w:rsidR="00FA690E" w:rsidRPr="00373065">
        <w:rPr>
          <w:rFonts w:eastAsia="Times New Roman" w:cs="Times New Roman"/>
        </w:rPr>
        <w:t xml:space="preserve">to the reaction </w:t>
      </w:r>
      <w:r w:rsidR="00F6556F" w:rsidRPr="00373065">
        <w:rPr>
          <w:rFonts w:eastAsia="Times New Roman" w:cs="Times New Roman"/>
        </w:rPr>
        <w:t>at different concentration</w:t>
      </w:r>
      <w:r w:rsidR="0064210A" w:rsidRPr="00373065">
        <w:rPr>
          <w:rFonts w:eastAsia="Times New Roman" w:cs="Times New Roman"/>
        </w:rPr>
        <w:t xml:space="preserve"> (</w:t>
      </w:r>
      <w:r w:rsidR="00254288" w:rsidRPr="00373065">
        <w:rPr>
          <w:rFonts w:eastAsia="Times New Roman" w:cs="Times New Roman"/>
        </w:rPr>
        <w:t>20</w:t>
      </w:r>
      <w:r w:rsidR="0064210A" w:rsidRPr="00373065">
        <w:rPr>
          <w:rFonts w:eastAsia="Times New Roman" w:cs="Times New Roman"/>
        </w:rPr>
        <w:t xml:space="preserve">-200 </w:t>
      </w:r>
      <w:proofErr w:type="spellStart"/>
      <w:r w:rsidR="00254288" w:rsidRPr="00373065">
        <w:rPr>
          <w:rFonts w:eastAsia="Times New Roman" w:cs="Times New Roman"/>
        </w:rPr>
        <w:t>n</w:t>
      </w:r>
      <w:r w:rsidR="0064210A" w:rsidRPr="00373065">
        <w:rPr>
          <w:rFonts w:eastAsia="Times New Roman" w:cs="Times New Roman"/>
        </w:rPr>
        <w:t>M</w:t>
      </w:r>
      <w:proofErr w:type="spellEnd"/>
      <w:r w:rsidR="0064210A" w:rsidRPr="00373065">
        <w:rPr>
          <w:rFonts w:eastAsia="Times New Roman" w:cs="Times New Roman"/>
        </w:rPr>
        <w:t>).</w:t>
      </w:r>
      <w:r w:rsidR="00F138AD" w:rsidRPr="00373065">
        <w:rPr>
          <w:rFonts w:eastAsia="Times New Roman" w:cs="Times New Roman"/>
        </w:rPr>
        <w:t xml:space="preserve"> </w:t>
      </w:r>
      <w:r w:rsidR="009B1605" w:rsidRPr="00373065">
        <w:rPr>
          <w:rFonts w:eastAsia="Times New Roman" w:cs="Times New Roman"/>
        </w:rPr>
        <w:t>The results demonstrated that, in spite of sharing similar sequences and functional domains,</w:t>
      </w:r>
      <w:r w:rsidR="004B6B76" w:rsidRPr="00373065">
        <w:rPr>
          <w:rFonts w:eastAsia="Times New Roman" w:cs="Times New Roman"/>
        </w:rPr>
        <w:t xml:space="preserve"> </w:t>
      </w:r>
      <w:r w:rsidR="009B1605" w:rsidRPr="00373065">
        <w:rPr>
          <w:rFonts w:eastAsia="Times New Roman" w:cs="Times New Roman"/>
        </w:rPr>
        <w:t xml:space="preserve">the </w:t>
      </w:r>
      <w:r w:rsidR="004B6B76" w:rsidRPr="00373065">
        <w:rPr>
          <w:rFonts w:eastAsia="Times New Roman" w:cs="Times New Roman"/>
        </w:rPr>
        <w:t>Cas12a ortholog</w:t>
      </w:r>
      <w:r w:rsidR="009B1605" w:rsidRPr="00373065">
        <w:rPr>
          <w:rFonts w:eastAsia="Times New Roman" w:cs="Times New Roman"/>
        </w:rPr>
        <w:t>s differ</w:t>
      </w:r>
      <w:r w:rsidR="004B6B76" w:rsidRPr="00373065">
        <w:rPr>
          <w:rFonts w:eastAsia="Times New Roman" w:cs="Times New Roman"/>
        </w:rPr>
        <w:t xml:space="preserve"> in their preference of divalent metal ions</w:t>
      </w:r>
      <w:r w:rsidR="00AE54D8" w:rsidRPr="00373065">
        <w:rPr>
          <w:rFonts w:eastAsia="Times New Roman" w:cs="Times New Roman"/>
        </w:rPr>
        <w:t xml:space="preserve"> when unleashing indiscriminate DNase activit</w:t>
      </w:r>
      <w:r w:rsidR="003E54AB" w:rsidRPr="00373065">
        <w:rPr>
          <w:rFonts w:eastAsia="Times New Roman" w:cs="Times New Roman"/>
        </w:rPr>
        <w:t>ies</w:t>
      </w:r>
      <w:r w:rsidR="004B6B76" w:rsidRPr="00373065">
        <w:rPr>
          <w:rFonts w:eastAsia="Times New Roman" w:cs="Times New Roman"/>
        </w:rPr>
        <w:t xml:space="preserve">. </w:t>
      </w:r>
      <w:r w:rsidR="00AF596D" w:rsidRPr="00373065">
        <w:rPr>
          <w:rFonts w:eastAsia="Times New Roman" w:cs="Times New Roman"/>
        </w:rPr>
        <w:t xml:space="preserve">AsCas12a and LbCas12a showed a predominant preference for cleaving </w:t>
      </w:r>
      <w:r w:rsidR="0006121F" w:rsidRPr="00373065">
        <w:rPr>
          <w:rFonts w:eastAsia="Times New Roman" w:cs="Times New Roman"/>
        </w:rPr>
        <w:t xml:space="preserve">both </w:t>
      </w:r>
      <w:r w:rsidR="00D07FA0" w:rsidRPr="00373065">
        <w:rPr>
          <w:rFonts w:eastAsia="Times New Roman" w:cs="Times New Roman"/>
        </w:rPr>
        <w:t xml:space="preserve">linearized and circular </w:t>
      </w:r>
      <w:r w:rsidR="00AF596D" w:rsidRPr="00373065">
        <w:rPr>
          <w:rFonts w:eastAsia="Times New Roman" w:cs="Times New Roman"/>
        </w:rPr>
        <w:t>ssDNA in the presence of</w:t>
      </w:r>
      <w:r w:rsidR="003676CD" w:rsidRPr="00373065">
        <w:rPr>
          <w:rFonts w:eastAsia="Times New Roman" w:cs="Times New Roman"/>
        </w:rPr>
        <w:t xml:space="preserve"> 10 mM</w:t>
      </w:r>
      <w:r w:rsidR="00AF596D" w:rsidRPr="00373065">
        <w:rPr>
          <w:rFonts w:eastAsia="Times New Roman" w:cs="Times New Roman"/>
        </w:rPr>
        <w:t xml:space="preserve"> </w:t>
      </w:r>
      <w:r w:rsidR="00C1335D" w:rsidRPr="00373065">
        <w:rPr>
          <w:rFonts w:eastAsia="Times New Roman" w:cs="Times New Roman"/>
        </w:rPr>
        <w:t>Mg</w:t>
      </w:r>
      <w:r w:rsidR="00C1335D" w:rsidRPr="00373065">
        <w:rPr>
          <w:rFonts w:eastAsia="Times New Roman" w:cs="Times New Roman"/>
          <w:vertAlign w:val="superscript"/>
        </w:rPr>
        <w:t>2+</w:t>
      </w:r>
      <w:r w:rsidR="00C1335D" w:rsidRPr="00373065">
        <w:rPr>
          <w:rFonts w:eastAsia="Times New Roman" w:cs="Times New Roman"/>
        </w:rPr>
        <w:t xml:space="preserve"> and Mn</w:t>
      </w:r>
      <w:r w:rsidR="00C1335D" w:rsidRPr="00373065">
        <w:rPr>
          <w:rFonts w:eastAsia="Times New Roman" w:cs="Times New Roman"/>
          <w:vertAlign w:val="superscript"/>
        </w:rPr>
        <w:t>2+</w:t>
      </w:r>
      <w:r w:rsidR="00AF596D" w:rsidRPr="00373065">
        <w:rPr>
          <w:rFonts w:eastAsia="Times New Roman" w:cs="Times New Roman"/>
        </w:rPr>
        <w:t>, respectively. In addition, AsCas12a and FnCas12a caused substantial dsDNA cleavage in the presence of</w:t>
      </w:r>
      <w:r w:rsidR="00430BD3" w:rsidRPr="00373065">
        <w:rPr>
          <w:rFonts w:eastAsia="Times New Roman" w:cs="Times New Roman"/>
        </w:rPr>
        <w:t xml:space="preserve"> 10mM</w:t>
      </w:r>
      <w:r w:rsidR="00AF596D" w:rsidRPr="00373065">
        <w:rPr>
          <w:rFonts w:eastAsia="Times New Roman" w:cs="Times New Roman"/>
        </w:rPr>
        <w:t xml:space="preserve"> </w:t>
      </w:r>
      <w:r w:rsidR="00010943" w:rsidRPr="00373065">
        <w:rPr>
          <w:rFonts w:eastAsia="Times New Roman" w:cs="Times New Roman"/>
        </w:rPr>
        <w:t>Mn</w:t>
      </w:r>
      <w:r w:rsidR="00010943" w:rsidRPr="00373065">
        <w:rPr>
          <w:rFonts w:eastAsia="Times New Roman" w:cs="Times New Roman"/>
          <w:vertAlign w:val="superscript"/>
        </w:rPr>
        <w:t>2+</w:t>
      </w:r>
      <w:r w:rsidR="00E90AC8" w:rsidRPr="00373065">
        <w:rPr>
          <w:rFonts w:eastAsia="Times New Roman" w:cs="Times New Roman"/>
        </w:rPr>
        <w:t xml:space="preserve">, regardless of the dsDNA’s </w:t>
      </w:r>
      <w:r w:rsidR="007546CF" w:rsidRPr="00373065">
        <w:rPr>
          <w:rFonts w:eastAsia="Times New Roman" w:cs="Times New Roman"/>
        </w:rPr>
        <w:t>form</w:t>
      </w:r>
      <w:r w:rsidR="00AF596D" w:rsidRPr="00373065">
        <w:rPr>
          <w:rFonts w:eastAsia="Times New Roman" w:cs="Times New Roman"/>
        </w:rPr>
        <w:t>.</w:t>
      </w:r>
      <w:r w:rsidR="00530D1F" w:rsidRPr="00373065">
        <w:rPr>
          <w:rFonts w:eastAsia="Times New Roman" w:cs="Times New Roman"/>
        </w:rPr>
        <w:t xml:space="preserve"> Importantly, these </w:t>
      </w:r>
      <w:r w:rsidR="00A414E0" w:rsidRPr="00373065">
        <w:rPr>
          <w:rFonts w:eastAsia="Times New Roman" w:cs="Times New Roman"/>
        </w:rPr>
        <w:t xml:space="preserve">DNase activities can be </w:t>
      </w:r>
      <w:r w:rsidR="00A30945" w:rsidRPr="00373065">
        <w:rPr>
          <w:rFonts w:eastAsia="Times New Roman" w:cs="Times New Roman"/>
        </w:rPr>
        <w:t>inhibited by</w:t>
      </w:r>
      <w:r w:rsidR="00043AA8" w:rsidRPr="00373065">
        <w:rPr>
          <w:rFonts w:eastAsia="Times New Roman" w:cs="Times New Roman"/>
        </w:rPr>
        <w:t xml:space="preserve"> </w:t>
      </w:r>
      <w:r w:rsidR="00B8184C" w:rsidRPr="00373065">
        <w:rPr>
          <w:rFonts w:eastAsia="Times New Roman" w:cs="Times New Roman"/>
        </w:rPr>
        <w:t xml:space="preserve">anti-Cas12a </w:t>
      </w:r>
      <w:proofErr w:type="spellStart"/>
      <w:r w:rsidR="000076AF" w:rsidRPr="00373065">
        <w:rPr>
          <w:rFonts w:eastAsia="Times New Roman" w:cs="Times New Roman"/>
        </w:rPr>
        <w:t>ps</w:t>
      </w:r>
      <w:proofErr w:type="spellEnd"/>
      <w:r w:rsidR="000076AF" w:rsidRPr="00373065">
        <w:rPr>
          <w:rFonts w:eastAsia="Times New Roman" w:cs="Times New Roman"/>
        </w:rPr>
        <w:t>-DNA</w:t>
      </w:r>
      <w:r w:rsidR="006B2CF0" w:rsidRPr="00373065">
        <w:rPr>
          <w:rFonts w:eastAsia="Times New Roman" w:cs="Times New Roman"/>
        </w:rPr>
        <w:t xml:space="preserve"> </w:t>
      </w:r>
      <w:r w:rsidR="00E0641D" w:rsidRPr="00373065">
        <w:rPr>
          <w:rFonts w:eastAsia="Times New Roman" w:cs="Times New Roman"/>
        </w:rPr>
        <w:t xml:space="preserve">oligonucleotide </w:t>
      </w:r>
      <w:r w:rsidR="002354B9" w:rsidRPr="00373065">
        <w:rPr>
          <w:rFonts w:eastAsia="Times New Roman" w:cs="Times New Roman"/>
        </w:rPr>
        <w:t xml:space="preserve">in a sequence-independent </w:t>
      </w:r>
      <w:r w:rsidR="00B76E1E" w:rsidRPr="00373065">
        <w:rPr>
          <w:rFonts w:eastAsia="Times New Roman" w:cs="Times New Roman"/>
        </w:rPr>
        <w:t>and concentration</w:t>
      </w:r>
      <w:r w:rsidR="00F61980" w:rsidRPr="00373065">
        <w:rPr>
          <w:rFonts w:eastAsia="Times New Roman" w:cs="Times New Roman"/>
        </w:rPr>
        <w:t>-</w:t>
      </w:r>
      <w:r w:rsidR="00B76E1E" w:rsidRPr="00373065">
        <w:rPr>
          <w:rFonts w:eastAsia="Times New Roman" w:cs="Times New Roman"/>
        </w:rPr>
        <w:t xml:space="preserve">dependent </w:t>
      </w:r>
      <w:r w:rsidR="002354B9" w:rsidRPr="00373065">
        <w:rPr>
          <w:rFonts w:eastAsia="Times New Roman" w:cs="Times New Roman"/>
        </w:rPr>
        <w:t>manner</w:t>
      </w:r>
      <w:r w:rsidR="00B83E1C" w:rsidRPr="00373065">
        <w:rPr>
          <w:rFonts w:eastAsia="Times New Roman" w:cs="Times New Roman"/>
        </w:rPr>
        <w:t xml:space="preserve">, </w:t>
      </w:r>
      <w:r w:rsidR="00A279C4" w:rsidRPr="00373065">
        <w:rPr>
          <w:rFonts w:eastAsia="Times New Roman" w:cs="Times New Roman"/>
        </w:rPr>
        <w:t xml:space="preserve">showing </w:t>
      </w:r>
      <w:r w:rsidR="00FB1DF8" w:rsidRPr="00373065">
        <w:rPr>
          <w:rFonts w:eastAsia="Times New Roman" w:cs="Times New Roman"/>
        </w:rPr>
        <w:t xml:space="preserve">diminished </w:t>
      </w:r>
      <w:proofErr w:type="spellStart"/>
      <w:r w:rsidR="00FB1DF8" w:rsidRPr="00373065">
        <w:rPr>
          <w:rFonts w:eastAsia="Times New Roman" w:cs="Times New Roman"/>
        </w:rPr>
        <w:t>ssDNase</w:t>
      </w:r>
      <w:proofErr w:type="spellEnd"/>
      <w:r w:rsidR="00FB1DF8" w:rsidRPr="00373065">
        <w:rPr>
          <w:rFonts w:eastAsia="Times New Roman" w:cs="Times New Roman"/>
        </w:rPr>
        <w:t xml:space="preserve"> activity of AsCas12a, LbCas12a, and FnCas12a on ssDNA and partial </w:t>
      </w:r>
      <w:r w:rsidR="00433AFC" w:rsidRPr="00373065">
        <w:rPr>
          <w:rFonts w:eastAsia="Times New Roman" w:cs="Times New Roman"/>
        </w:rPr>
        <w:t xml:space="preserve">inhibitory profile </w:t>
      </w:r>
      <w:r w:rsidR="00951366" w:rsidRPr="00373065">
        <w:rPr>
          <w:rFonts w:eastAsia="Times New Roman" w:cs="Times New Roman"/>
        </w:rPr>
        <w:t>on</w:t>
      </w:r>
      <w:r w:rsidR="00433AFC" w:rsidRPr="00373065">
        <w:rPr>
          <w:rFonts w:eastAsia="Times New Roman" w:cs="Times New Roman"/>
        </w:rPr>
        <w:t xml:space="preserve"> </w:t>
      </w:r>
      <w:r w:rsidR="007E05EB" w:rsidRPr="00373065">
        <w:rPr>
          <w:rFonts w:eastAsia="Times New Roman" w:cs="Times New Roman"/>
        </w:rPr>
        <w:t>d</w:t>
      </w:r>
      <w:r w:rsidR="00433AFC" w:rsidRPr="00373065">
        <w:rPr>
          <w:rFonts w:eastAsia="Times New Roman" w:cs="Times New Roman"/>
        </w:rPr>
        <w:t>sDNA</w:t>
      </w:r>
      <w:r w:rsidR="006467EE" w:rsidRPr="00373065">
        <w:rPr>
          <w:rFonts w:eastAsia="Times New Roman" w:cs="Times New Roman"/>
        </w:rPr>
        <w:t>.</w:t>
      </w:r>
      <w:r w:rsidR="00FB1DF8" w:rsidRPr="00373065">
        <w:rPr>
          <w:rFonts w:eastAsia="Times New Roman" w:cs="Times New Roman"/>
        </w:rPr>
        <w:t xml:space="preserve"> </w:t>
      </w:r>
      <w:r w:rsidR="003E5F1B" w:rsidRPr="00373065">
        <w:rPr>
          <w:rFonts w:eastAsia="Times New Roman" w:cs="Times New Roman"/>
        </w:rPr>
        <w:t>Thus, a</w:t>
      </w:r>
      <w:r w:rsidR="009C2265" w:rsidRPr="00373065">
        <w:rPr>
          <w:rFonts w:eastAsia="Times New Roman" w:cs="Times New Roman"/>
        </w:rPr>
        <w:t xml:space="preserve">nti-Cas12a </w:t>
      </w:r>
      <w:proofErr w:type="spellStart"/>
      <w:r w:rsidR="009C2265" w:rsidRPr="00373065">
        <w:rPr>
          <w:rFonts w:eastAsia="Times New Roman" w:cs="Times New Roman"/>
        </w:rPr>
        <w:t>ps</w:t>
      </w:r>
      <w:proofErr w:type="spellEnd"/>
      <w:r w:rsidR="009C2265" w:rsidRPr="00373065">
        <w:rPr>
          <w:rFonts w:eastAsia="Times New Roman" w:cs="Times New Roman"/>
        </w:rPr>
        <w:t xml:space="preserve">-DNA </w:t>
      </w:r>
      <w:r w:rsidR="00B83E1C" w:rsidRPr="00373065">
        <w:rPr>
          <w:rFonts w:eastAsia="Times New Roman" w:cs="Times New Roman"/>
        </w:rPr>
        <w:t>represent</w:t>
      </w:r>
      <w:r w:rsidR="009C2265" w:rsidRPr="00373065">
        <w:rPr>
          <w:rFonts w:eastAsia="Times New Roman" w:cs="Times New Roman"/>
        </w:rPr>
        <w:t>s</w:t>
      </w:r>
      <w:r w:rsidR="00B02CBF" w:rsidRPr="00373065">
        <w:rPr>
          <w:rFonts w:eastAsia="Times New Roman" w:cs="Times New Roman"/>
        </w:rPr>
        <w:t xml:space="preserve"> an effective approach to regulate the DNase activities of Cas12a</w:t>
      </w:r>
      <w:r w:rsidR="00DB4E50" w:rsidRPr="00373065">
        <w:rPr>
          <w:rFonts w:eastAsia="Times New Roman" w:cs="Times New Roman"/>
        </w:rPr>
        <w:t xml:space="preserve">. </w:t>
      </w:r>
      <w:r w:rsidR="00FC7940" w:rsidRPr="00373065">
        <w:rPr>
          <w:rFonts w:eastAsia="Times New Roman" w:cs="Times New Roman"/>
        </w:rPr>
        <w:t xml:space="preserve">Overall, </w:t>
      </w:r>
      <w:proofErr w:type="spellStart"/>
      <w:r w:rsidR="00FC7940" w:rsidRPr="00373065">
        <w:rPr>
          <w:rFonts w:eastAsia="Times New Roman" w:cs="Times New Roman"/>
        </w:rPr>
        <w:t>ssDNase</w:t>
      </w:r>
      <w:proofErr w:type="spellEnd"/>
      <w:r w:rsidR="00FC7940" w:rsidRPr="00373065">
        <w:rPr>
          <w:rFonts w:eastAsia="Times New Roman" w:cs="Times New Roman"/>
        </w:rPr>
        <w:t xml:space="preserve"> activity of the Cas12a orthologs uncovered a distinct approach for DNA cleavage compared to RNA-guided </w:t>
      </w:r>
      <w:r w:rsidR="005D0F6A" w:rsidRPr="00373065">
        <w:rPr>
          <w:rFonts w:eastAsia="Times New Roman" w:cs="Times New Roman"/>
        </w:rPr>
        <w:t>endonuclease</w:t>
      </w:r>
      <w:r w:rsidR="00FC7940" w:rsidRPr="00373065">
        <w:rPr>
          <w:rFonts w:eastAsia="Times New Roman" w:cs="Times New Roman"/>
        </w:rPr>
        <w:t>, and provided insights into potential biological and therapeutic applications.</w:t>
      </w:r>
    </w:p>
    <w:p w14:paraId="1FCD4972" w14:textId="21875622" w:rsidR="008C612D" w:rsidRPr="00373065" w:rsidRDefault="008C612D" w:rsidP="009A72A6">
      <w:pPr>
        <w:jc w:val="both"/>
        <w:rPr>
          <w:rFonts w:eastAsia="Times New Roman" w:cs="Times New Roman"/>
        </w:rPr>
      </w:pPr>
    </w:p>
    <w:p w14:paraId="60002746" w14:textId="2977597F" w:rsidR="008C612D" w:rsidRPr="00373065" w:rsidRDefault="008C612D" w:rsidP="009A72A6">
      <w:pPr>
        <w:jc w:val="both"/>
        <w:rPr>
          <w:rFonts w:eastAsia="Times New Roman" w:cs="Times New Roman"/>
          <w:sz w:val="20"/>
          <w:szCs w:val="20"/>
        </w:rPr>
      </w:pPr>
      <w:r w:rsidRPr="00373065">
        <w:rPr>
          <w:rFonts w:eastAsia="Times New Roman" w:cs="Times New Roman"/>
          <w:sz w:val="20"/>
          <w:szCs w:val="20"/>
        </w:rPr>
        <w:t>Reference</w:t>
      </w:r>
    </w:p>
    <w:p w14:paraId="70D35575" w14:textId="2653A5EB" w:rsidR="00714CA3" w:rsidRPr="00373065" w:rsidRDefault="00714CA3" w:rsidP="00714CA3">
      <w:pPr>
        <w:pStyle w:val="Bibliography"/>
        <w:rPr>
          <w:rFonts w:cs="Times New Roman"/>
          <w:sz w:val="20"/>
          <w:szCs w:val="20"/>
        </w:rPr>
      </w:pPr>
      <w:r w:rsidRPr="00373065">
        <w:rPr>
          <w:rFonts w:cs="Times New Roman"/>
          <w:sz w:val="20"/>
          <w:szCs w:val="20"/>
        </w:rPr>
        <w:t>1</w:t>
      </w:r>
      <w:r w:rsidR="00512903" w:rsidRPr="00373065">
        <w:rPr>
          <w:rFonts w:cs="Times New Roman"/>
          <w:sz w:val="20"/>
          <w:szCs w:val="20"/>
        </w:rPr>
        <w:t xml:space="preserve">. </w:t>
      </w:r>
      <w:r w:rsidR="0056239B" w:rsidRPr="00373065">
        <w:rPr>
          <w:rFonts w:cs="Times New Roman"/>
          <w:sz w:val="20"/>
          <w:szCs w:val="20"/>
        </w:rPr>
        <w:tab/>
      </w:r>
      <w:r w:rsidRPr="00373065">
        <w:rPr>
          <w:rFonts w:cs="Times New Roman"/>
          <w:sz w:val="20"/>
          <w:szCs w:val="20"/>
        </w:rPr>
        <w:t xml:space="preserve">Li, B.; Yan, J.; Zhang, Y.; Li, W.; Zeng, C.; Zhao, W.; Hou, X.; Zhang, C.; Dong, Y. CRISPR-Cas12a Possesses Unconventional DNase Activity That Can Be Inactivated by Synthetic Oligonucleotides. </w:t>
      </w:r>
      <w:r w:rsidRPr="00373065">
        <w:rPr>
          <w:rFonts w:cs="Times New Roman"/>
          <w:i/>
          <w:iCs/>
          <w:sz w:val="20"/>
          <w:szCs w:val="20"/>
        </w:rPr>
        <w:t>Molecular Therapy - Nucleic Acids</w:t>
      </w:r>
      <w:r w:rsidRPr="00373065">
        <w:rPr>
          <w:rFonts w:cs="Times New Roman"/>
          <w:sz w:val="20"/>
          <w:szCs w:val="20"/>
        </w:rPr>
        <w:t xml:space="preserve"> </w:t>
      </w:r>
      <w:r w:rsidRPr="00373065">
        <w:rPr>
          <w:rFonts w:cs="Times New Roman"/>
          <w:b/>
          <w:bCs/>
          <w:sz w:val="20"/>
          <w:szCs w:val="20"/>
        </w:rPr>
        <w:t>2020</w:t>
      </w:r>
      <w:r w:rsidRPr="00373065">
        <w:rPr>
          <w:rFonts w:cs="Times New Roman"/>
          <w:sz w:val="20"/>
          <w:szCs w:val="20"/>
        </w:rPr>
        <w:t xml:space="preserve">, </w:t>
      </w:r>
      <w:r w:rsidRPr="00373065">
        <w:rPr>
          <w:rFonts w:cs="Times New Roman"/>
          <w:i/>
          <w:iCs/>
          <w:sz w:val="20"/>
          <w:szCs w:val="20"/>
        </w:rPr>
        <w:t>19</w:t>
      </w:r>
      <w:r w:rsidRPr="00373065">
        <w:rPr>
          <w:rFonts w:cs="Times New Roman"/>
          <w:sz w:val="20"/>
          <w:szCs w:val="20"/>
        </w:rPr>
        <w:t xml:space="preserve">, 1043–1052. </w:t>
      </w:r>
    </w:p>
    <w:p w14:paraId="58EC9943" w14:textId="0FBCAE99" w:rsidR="008C612D" w:rsidRPr="00373065" w:rsidRDefault="008C612D" w:rsidP="009A72A6">
      <w:pPr>
        <w:jc w:val="both"/>
        <w:rPr>
          <w:rFonts w:eastAsia="Times New Roman" w:cs="Times New Roman"/>
          <w:sz w:val="20"/>
          <w:szCs w:val="20"/>
        </w:rPr>
      </w:pPr>
    </w:p>
    <w:p w14:paraId="7DB707C7" w14:textId="77D63574" w:rsidR="00CE7FF7" w:rsidRPr="00373065" w:rsidRDefault="00CE7FF7" w:rsidP="004818E8">
      <w:pPr>
        <w:jc w:val="both"/>
        <w:rPr>
          <w:rFonts w:eastAsia="Times New Roman" w:cs="Times New Roman"/>
        </w:rPr>
      </w:pPr>
    </w:p>
    <w:sectPr w:rsidR="00CE7FF7" w:rsidRPr="00373065" w:rsidSect="0041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F29C" w14:textId="77777777" w:rsidR="002A02A0" w:rsidRDefault="002A02A0" w:rsidP="00714CA3">
      <w:r>
        <w:separator/>
      </w:r>
    </w:p>
  </w:endnote>
  <w:endnote w:type="continuationSeparator" w:id="0">
    <w:p w14:paraId="4A252A17" w14:textId="77777777" w:rsidR="002A02A0" w:rsidRDefault="002A02A0" w:rsidP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6D5A" w14:textId="77777777" w:rsidR="002A02A0" w:rsidRDefault="002A02A0" w:rsidP="00714CA3">
      <w:r>
        <w:separator/>
      </w:r>
    </w:p>
  </w:footnote>
  <w:footnote w:type="continuationSeparator" w:id="0">
    <w:p w14:paraId="071C6BE9" w14:textId="77777777" w:rsidR="002A02A0" w:rsidRDefault="002A02A0" w:rsidP="0071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7"/>
    <w:rsid w:val="00005107"/>
    <w:rsid w:val="000076AF"/>
    <w:rsid w:val="00010943"/>
    <w:rsid w:val="000157FC"/>
    <w:rsid w:val="0001690C"/>
    <w:rsid w:val="00043AA8"/>
    <w:rsid w:val="000452F3"/>
    <w:rsid w:val="0006121F"/>
    <w:rsid w:val="00084188"/>
    <w:rsid w:val="00095F84"/>
    <w:rsid w:val="000A6F28"/>
    <w:rsid w:val="000B1518"/>
    <w:rsid w:val="000C43F6"/>
    <w:rsid w:val="000F2985"/>
    <w:rsid w:val="00125005"/>
    <w:rsid w:val="00141A8C"/>
    <w:rsid w:val="00143348"/>
    <w:rsid w:val="00157AE1"/>
    <w:rsid w:val="00173186"/>
    <w:rsid w:val="00194130"/>
    <w:rsid w:val="001B2A99"/>
    <w:rsid w:val="001F2392"/>
    <w:rsid w:val="00223AF1"/>
    <w:rsid w:val="002354B9"/>
    <w:rsid w:val="00246BED"/>
    <w:rsid w:val="00254288"/>
    <w:rsid w:val="0025719B"/>
    <w:rsid w:val="0026460A"/>
    <w:rsid w:val="002A02A0"/>
    <w:rsid w:val="002A0CC9"/>
    <w:rsid w:val="002D5AE6"/>
    <w:rsid w:val="002F1F4C"/>
    <w:rsid w:val="003035EC"/>
    <w:rsid w:val="003100F1"/>
    <w:rsid w:val="003145C4"/>
    <w:rsid w:val="003349E4"/>
    <w:rsid w:val="00347FEA"/>
    <w:rsid w:val="00351A0D"/>
    <w:rsid w:val="003559E9"/>
    <w:rsid w:val="003676CD"/>
    <w:rsid w:val="00373065"/>
    <w:rsid w:val="00393A70"/>
    <w:rsid w:val="003A7474"/>
    <w:rsid w:val="003B4A16"/>
    <w:rsid w:val="003B6193"/>
    <w:rsid w:val="003D3BB3"/>
    <w:rsid w:val="003E1BBD"/>
    <w:rsid w:val="003E4CBA"/>
    <w:rsid w:val="003E54AB"/>
    <w:rsid w:val="003E5F1B"/>
    <w:rsid w:val="004104B6"/>
    <w:rsid w:val="004240FC"/>
    <w:rsid w:val="00426950"/>
    <w:rsid w:val="00430BD3"/>
    <w:rsid w:val="00433AFC"/>
    <w:rsid w:val="00477E68"/>
    <w:rsid w:val="00481038"/>
    <w:rsid w:val="004818E8"/>
    <w:rsid w:val="0048506B"/>
    <w:rsid w:val="00491F0C"/>
    <w:rsid w:val="004B6B76"/>
    <w:rsid w:val="004C4380"/>
    <w:rsid w:val="004D0374"/>
    <w:rsid w:val="004D7FDB"/>
    <w:rsid w:val="004F7E36"/>
    <w:rsid w:val="00500E14"/>
    <w:rsid w:val="00512903"/>
    <w:rsid w:val="00530BCC"/>
    <w:rsid w:val="00530D1F"/>
    <w:rsid w:val="00534F15"/>
    <w:rsid w:val="0055384D"/>
    <w:rsid w:val="00557168"/>
    <w:rsid w:val="0056239B"/>
    <w:rsid w:val="00571284"/>
    <w:rsid w:val="00597DE6"/>
    <w:rsid w:val="005A31EB"/>
    <w:rsid w:val="005B63E2"/>
    <w:rsid w:val="005C050F"/>
    <w:rsid w:val="005D0AA4"/>
    <w:rsid w:val="005D0F6A"/>
    <w:rsid w:val="005F3267"/>
    <w:rsid w:val="00610956"/>
    <w:rsid w:val="00630543"/>
    <w:rsid w:val="0063653C"/>
    <w:rsid w:val="0064210A"/>
    <w:rsid w:val="006467EE"/>
    <w:rsid w:val="00650819"/>
    <w:rsid w:val="006B2CF0"/>
    <w:rsid w:val="006D399E"/>
    <w:rsid w:val="006D70ED"/>
    <w:rsid w:val="007122B9"/>
    <w:rsid w:val="00714CA3"/>
    <w:rsid w:val="00717E7E"/>
    <w:rsid w:val="00734B78"/>
    <w:rsid w:val="007446E9"/>
    <w:rsid w:val="007546CF"/>
    <w:rsid w:val="0078360D"/>
    <w:rsid w:val="00794497"/>
    <w:rsid w:val="0079517D"/>
    <w:rsid w:val="007A2F10"/>
    <w:rsid w:val="007C06F0"/>
    <w:rsid w:val="007D14E9"/>
    <w:rsid w:val="007E05EB"/>
    <w:rsid w:val="007E3643"/>
    <w:rsid w:val="007F1A31"/>
    <w:rsid w:val="007F1CA0"/>
    <w:rsid w:val="007F3B45"/>
    <w:rsid w:val="007F5EAF"/>
    <w:rsid w:val="008066B8"/>
    <w:rsid w:val="00810E10"/>
    <w:rsid w:val="00812E18"/>
    <w:rsid w:val="00833D5B"/>
    <w:rsid w:val="00844B52"/>
    <w:rsid w:val="00850050"/>
    <w:rsid w:val="008537DA"/>
    <w:rsid w:val="00861BAD"/>
    <w:rsid w:val="00877D4F"/>
    <w:rsid w:val="0088576D"/>
    <w:rsid w:val="008C612D"/>
    <w:rsid w:val="00930F02"/>
    <w:rsid w:val="00951366"/>
    <w:rsid w:val="009656EC"/>
    <w:rsid w:val="009A0D92"/>
    <w:rsid w:val="009A72A6"/>
    <w:rsid w:val="009B1605"/>
    <w:rsid w:val="009C2265"/>
    <w:rsid w:val="009F6A4E"/>
    <w:rsid w:val="00A279C4"/>
    <w:rsid w:val="00A30945"/>
    <w:rsid w:val="00A36ED7"/>
    <w:rsid w:val="00A414E0"/>
    <w:rsid w:val="00A83D30"/>
    <w:rsid w:val="00A90E10"/>
    <w:rsid w:val="00A94C12"/>
    <w:rsid w:val="00AA2E3B"/>
    <w:rsid w:val="00AB5360"/>
    <w:rsid w:val="00AC5607"/>
    <w:rsid w:val="00AD2864"/>
    <w:rsid w:val="00AD4B33"/>
    <w:rsid w:val="00AE54D8"/>
    <w:rsid w:val="00AF596D"/>
    <w:rsid w:val="00B02CBF"/>
    <w:rsid w:val="00B210BA"/>
    <w:rsid w:val="00B42D30"/>
    <w:rsid w:val="00B6496D"/>
    <w:rsid w:val="00B76E1E"/>
    <w:rsid w:val="00B8184C"/>
    <w:rsid w:val="00B83E1C"/>
    <w:rsid w:val="00BA2E38"/>
    <w:rsid w:val="00BD1C12"/>
    <w:rsid w:val="00C1335D"/>
    <w:rsid w:val="00C70BFD"/>
    <w:rsid w:val="00C7518E"/>
    <w:rsid w:val="00C87611"/>
    <w:rsid w:val="00CA219D"/>
    <w:rsid w:val="00CE7FF7"/>
    <w:rsid w:val="00D07FA0"/>
    <w:rsid w:val="00D14D5E"/>
    <w:rsid w:val="00D425AE"/>
    <w:rsid w:val="00D763F3"/>
    <w:rsid w:val="00D921EB"/>
    <w:rsid w:val="00D936C3"/>
    <w:rsid w:val="00D95A1C"/>
    <w:rsid w:val="00DB1B7E"/>
    <w:rsid w:val="00DB4E50"/>
    <w:rsid w:val="00DC5CBB"/>
    <w:rsid w:val="00E0641D"/>
    <w:rsid w:val="00E25F78"/>
    <w:rsid w:val="00E66305"/>
    <w:rsid w:val="00E874D8"/>
    <w:rsid w:val="00E90AC8"/>
    <w:rsid w:val="00EB5169"/>
    <w:rsid w:val="00EC4790"/>
    <w:rsid w:val="00ED343A"/>
    <w:rsid w:val="00EE22DA"/>
    <w:rsid w:val="00F138AD"/>
    <w:rsid w:val="00F153FC"/>
    <w:rsid w:val="00F463D3"/>
    <w:rsid w:val="00F61980"/>
    <w:rsid w:val="00F6556F"/>
    <w:rsid w:val="00F90FE6"/>
    <w:rsid w:val="00FA5FEF"/>
    <w:rsid w:val="00FA690E"/>
    <w:rsid w:val="00FB1DF8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989E"/>
  <w15:chartTrackingRefBased/>
  <w15:docId w15:val="{93563342-AB2B-AC46-A316-3FC74D9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E7FF7"/>
    <w:pPr>
      <w:tabs>
        <w:tab w:val="left" w:pos="500"/>
      </w:tabs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A3"/>
  </w:style>
  <w:style w:type="paragraph" w:styleId="Footer">
    <w:name w:val="footer"/>
    <w:basedOn w:val="Normal"/>
    <w:link w:val="FooterChar"/>
    <w:uiPriority w:val="99"/>
    <w:unhideWhenUsed/>
    <w:rsid w:val="0071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Jingyue</dc:creator>
  <cp:keywords/>
  <dc:description/>
  <cp:lastModifiedBy>Yan, Jingyue</cp:lastModifiedBy>
  <cp:revision>2</cp:revision>
  <dcterms:created xsi:type="dcterms:W3CDTF">2021-02-27T15:00:00Z</dcterms:created>
  <dcterms:modified xsi:type="dcterms:W3CDTF">2021-02-27T15:00:00Z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id="HG3Np5UD"/&gt;&lt;style id="http://www.zotero.org/styles/nature" hasBibliography="1" bibliographyStyleHasBeenSet="0"/&gt;&lt;prefs&gt;&lt;pref name="fieldType" value="Field"/&gt;&lt;/prefs&gt;&lt;/data&gt;</vt:lpwstr>
  </property>
</Properties>
</file>