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C470" w14:textId="19A271EC" w:rsidR="001F6129" w:rsidRPr="00EF0206" w:rsidRDefault="001F6129">
      <w:pPr>
        <w:rPr>
          <w:rFonts w:ascii="Calibri" w:hAnsi="Calibri" w:cs="Calibri"/>
          <w:b/>
          <w:bCs/>
          <w:sz w:val="28"/>
          <w:szCs w:val="28"/>
        </w:rPr>
      </w:pPr>
      <w:r w:rsidRPr="00EF0206">
        <w:rPr>
          <w:rFonts w:ascii="Calibri" w:hAnsi="Calibri" w:cs="Calibri"/>
          <w:b/>
          <w:bCs/>
          <w:sz w:val="28"/>
          <w:szCs w:val="28"/>
        </w:rPr>
        <w:t>US</w:t>
      </w:r>
      <w:r w:rsidR="00861A90" w:rsidRPr="00EF0206">
        <w:rPr>
          <w:rFonts w:ascii="Calibri" w:hAnsi="Calibri" w:cs="Calibri"/>
          <w:b/>
          <w:bCs/>
          <w:sz w:val="28"/>
          <w:szCs w:val="28"/>
        </w:rPr>
        <w:t>E</w:t>
      </w:r>
      <w:r w:rsidRPr="00EF0206">
        <w:rPr>
          <w:rFonts w:ascii="Calibri" w:hAnsi="Calibri" w:cs="Calibri"/>
          <w:b/>
          <w:bCs/>
          <w:sz w:val="28"/>
          <w:szCs w:val="28"/>
        </w:rPr>
        <w:t xml:space="preserve"> OF MIXED-EFFECT</w:t>
      </w:r>
      <w:r w:rsidR="00B60D1F">
        <w:rPr>
          <w:rFonts w:ascii="Calibri" w:hAnsi="Calibri" w:cs="Calibri"/>
          <w:b/>
          <w:bCs/>
          <w:sz w:val="28"/>
          <w:szCs w:val="28"/>
        </w:rPr>
        <w:t>S</w:t>
      </w:r>
      <w:r w:rsidRPr="00EF0206">
        <w:rPr>
          <w:rFonts w:ascii="Calibri" w:hAnsi="Calibri" w:cs="Calibri"/>
          <w:b/>
          <w:bCs/>
          <w:sz w:val="28"/>
          <w:szCs w:val="28"/>
        </w:rPr>
        <w:t xml:space="preserve"> MODELING TO DEFINE CACHEXIA </w:t>
      </w:r>
      <w:r w:rsidR="00861A90" w:rsidRPr="00EF0206">
        <w:rPr>
          <w:rFonts w:ascii="Calibri" w:hAnsi="Calibri" w:cs="Calibri"/>
          <w:b/>
          <w:bCs/>
          <w:sz w:val="28"/>
          <w:szCs w:val="28"/>
        </w:rPr>
        <w:t xml:space="preserve">AND ITS IMPACT ON IMMUNE CHECKPOINT INHIBITOR DISPOSITION </w:t>
      </w:r>
      <w:r w:rsidRPr="00EF0206">
        <w:rPr>
          <w:rFonts w:ascii="Calibri" w:hAnsi="Calibri" w:cs="Calibri"/>
          <w:b/>
          <w:bCs/>
          <w:sz w:val="28"/>
          <w:szCs w:val="28"/>
        </w:rPr>
        <w:t>IN MURINE CANCER MODELS</w:t>
      </w:r>
    </w:p>
    <w:p w14:paraId="6795722F" w14:textId="72E91F8A" w:rsidR="00C3568A" w:rsidRPr="00EF0206" w:rsidRDefault="00C3568A" w:rsidP="00EF0206">
      <w:pPr>
        <w:spacing w:line="240" w:lineRule="auto"/>
        <w:jc w:val="left"/>
        <w:rPr>
          <w:rFonts w:ascii="Calibri" w:hAnsi="Calibri" w:cs="Calibri"/>
          <w:i/>
          <w:iCs/>
          <w:sz w:val="24"/>
          <w:szCs w:val="24"/>
        </w:rPr>
      </w:pPr>
      <w:r w:rsidRPr="00EF0206">
        <w:rPr>
          <w:rFonts w:ascii="Calibri" w:hAnsi="Calibri" w:cs="Calibri"/>
          <w:i/>
          <w:iCs/>
          <w:sz w:val="24"/>
          <w:szCs w:val="24"/>
          <w:u w:val="single"/>
        </w:rPr>
        <w:t>Kyeongmin Kim</w:t>
      </w:r>
      <w:r w:rsidRPr="00EF0206">
        <w:rPr>
          <w:rFonts w:ascii="Calibri" w:hAnsi="Calibri" w:cs="Calibri"/>
          <w:i/>
          <w:iCs/>
          <w:sz w:val="24"/>
          <w:szCs w:val="24"/>
          <w:u w:val="single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Alyssa Marie M. Castillo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Trang T. Vu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Sophia G. Liva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 </w:t>
      </w:r>
      <w:r w:rsidRPr="00EF0206">
        <w:rPr>
          <w:rFonts w:ascii="Calibri" w:hAnsi="Calibri" w:cs="Calibri"/>
          <w:i/>
          <w:iCs/>
          <w:sz w:val="24"/>
          <w:szCs w:val="24"/>
        </w:rPr>
        <w:t>Min Chen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 w:rsidRPr="00EF0206">
        <w:rPr>
          <w:rFonts w:ascii="Calibri" w:hAnsi="Calibri" w:cs="Calibri"/>
          <w:i/>
          <w:iCs/>
          <w:sz w:val="24"/>
          <w:szCs w:val="24"/>
        </w:rPr>
        <w:t>Zhiliang</w:t>
      </w:r>
      <w:proofErr w:type="spellEnd"/>
      <w:r w:rsidRPr="00EF0206">
        <w:rPr>
          <w:rFonts w:ascii="Calibri" w:hAnsi="Calibri" w:cs="Calibri"/>
          <w:i/>
          <w:iCs/>
          <w:sz w:val="24"/>
          <w:szCs w:val="24"/>
        </w:rPr>
        <w:t xml:space="preserve"> Xie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Justin Thomas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Bryan Remaily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, </w:t>
      </w:r>
      <w:proofErr w:type="spellStart"/>
      <w:r w:rsidRPr="00EF0206">
        <w:rPr>
          <w:rFonts w:ascii="Calibri" w:hAnsi="Calibri" w:cs="Calibri"/>
          <w:i/>
          <w:iCs/>
          <w:sz w:val="24"/>
          <w:szCs w:val="24"/>
        </w:rPr>
        <w:t>Yizhen</w:t>
      </w:r>
      <w:proofErr w:type="spellEnd"/>
      <w:r w:rsidRPr="00EF0206">
        <w:rPr>
          <w:rFonts w:ascii="Calibri" w:hAnsi="Calibri" w:cs="Calibri"/>
          <w:i/>
          <w:iCs/>
          <w:sz w:val="24"/>
          <w:szCs w:val="24"/>
        </w:rPr>
        <w:t xml:space="preserve"> Guo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Uma L. Subrayan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Travis Costa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2</w:t>
      </w:r>
      <w:r w:rsidRPr="00EF0206">
        <w:rPr>
          <w:rFonts w:ascii="Calibri" w:hAnsi="Calibri" w:cs="Calibri"/>
          <w:i/>
          <w:iCs/>
          <w:sz w:val="24"/>
          <w:szCs w:val="24"/>
        </w:rPr>
        <w:t>, Timothy H. Helms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3</w:t>
      </w:r>
      <w:r w:rsidRPr="00EF0206">
        <w:rPr>
          <w:rFonts w:ascii="Calibri" w:hAnsi="Calibri" w:cs="Calibri"/>
          <w:i/>
          <w:iCs/>
          <w:sz w:val="24"/>
          <w:szCs w:val="24"/>
        </w:rPr>
        <w:t>, Donald J. Irby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Dwight H. Owen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4</w:t>
      </w:r>
      <w:r w:rsidRPr="00EF0206">
        <w:rPr>
          <w:rFonts w:ascii="Calibri" w:hAnsi="Calibri" w:cs="Calibri"/>
          <w:i/>
          <w:iCs/>
          <w:sz w:val="24"/>
          <w:szCs w:val="24"/>
        </w:rPr>
        <w:t>, Samuel K. Kulp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>, Thomas A. Mace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5,6</w:t>
      </w:r>
      <w:r w:rsidRPr="00EF0206">
        <w:rPr>
          <w:rFonts w:ascii="Calibri" w:hAnsi="Calibri" w:cs="Calibri"/>
          <w:i/>
          <w:iCs/>
          <w:sz w:val="24"/>
          <w:szCs w:val="24"/>
        </w:rPr>
        <w:t>, Mitch A. Phelps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1,6 </w:t>
      </w:r>
      <w:r w:rsidRPr="00EF0206">
        <w:rPr>
          <w:rFonts w:ascii="Calibri" w:hAnsi="Calibri" w:cs="Calibri"/>
          <w:i/>
          <w:iCs/>
          <w:sz w:val="24"/>
          <w:szCs w:val="24"/>
        </w:rPr>
        <w:t>and Christopher C. Coss</w:t>
      </w: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1,6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6B4A51AF" w14:textId="2FEC301F" w:rsidR="00C3568A" w:rsidRPr="00EF0206" w:rsidRDefault="00C3568A" w:rsidP="00EF0206">
      <w:pPr>
        <w:snapToGrid w:val="0"/>
        <w:spacing w:after="0" w:line="240" w:lineRule="auto"/>
        <w:jc w:val="left"/>
        <w:rPr>
          <w:rFonts w:ascii="Calibri" w:hAnsi="Calibri" w:cs="Calibri"/>
          <w:i/>
          <w:iCs/>
          <w:sz w:val="24"/>
          <w:szCs w:val="24"/>
        </w:rPr>
      </w:pP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1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 Division of Pharmaceutics and Pharmacology, College of Pharmacy, The Ohio State University</w:t>
      </w:r>
    </w:p>
    <w:p w14:paraId="1D2C93E6" w14:textId="4CAC0D92" w:rsidR="00C3568A" w:rsidRPr="00EF0206" w:rsidRDefault="00C3568A" w:rsidP="00EF0206">
      <w:pPr>
        <w:snapToGrid w:val="0"/>
        <w:spacing w:after="0" w:line="240" w:lineRule="auto"/>
        <w:jc w:val="left"/>
        <w:rPr>
          <w:rFonts w:ascii="Calibri" w:hAnsi="Calibri" w:cs="Calibri"/>
          <w:i/>
          <w:iCs/>
          <w:sz w:val="24"/>
          <w:szCs w:val="24"/>
        </w:rPr>
      </w:pP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2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 Department of Biomedical Engineering, College of Engineering, The Ohio State University</w:t>
      </w:r>
    </w:p>
    <w:p w14:paraId="523292A1" w14:textId="57862A3E" w:rsidR="00C3568A" w:rsidRPr="00EF0206" w:rsidRDefault="00C3568A" w:rsidP="00EF0206">
      <w:pPr>
        <w:snapToGrid w:val="0"/>
        <w:spacing w:after="0" w:line="240" w:lineRule="auto"/>
        <w:jc w:val="left"/>
        <w:rPr>
          <w:rFonts w:ascii="Calibri" w:hAnsi="Calibri" w:cs="Calibri"/>
          <w:i/>
          <w:iCs/>
          <w:sz w:val="24"/>
          <w:szCs w:val="24"/>
        </w:rPr>
      </w:pP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3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 Department of Veterinary Biosciences, College of Veterinary Medicine, The Ohio State University</w:t>
      </w:r>
    </w:p>
    <w:p w14:paraId="79300D8A" w14:textId="45B62A47" w:rsidR="00C3568A" w:rsidRPr="00EF0206" w:rsidRDefault="00C3568A" w:rsidP="00EF0206">
      <w:pPr>
        <w:snapToGrid w:val="0"/>
        <w:spacing w:after="0" w:line="240" w:lineRule="auto"/>
        <w:jc w:val="left"/>
        <w:rPr>
          <w:rFonts w:ascii="Calibri" w:hAnsi="Calibri" w:cs="Calibri"/>
          <w:i/>
          <w:iCs/>
          <w:sz w:val="24"/>
          <w:szCs w:val="24"/>
        </w:rPr>
      </w:pP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4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 Division of Medical Oncology, The Ohio State University James Comprehensive Cancer Center</w:t>
      </w:r>
    </w:p>
    <w:p w14:paraId="43846C48" w14:textId="06CF917C" w:rsidR="00C3568A" w:rsidRPr="00EF0206" w:rsidRDefault="00C3568A" w:rsidP="00EF0206">
      <w:pPr>
        <w:snapToGrid w:val="0"/>
        <w:spacing w:after="0" w:line="240" w:lineRule="auto"/>
        <w:jc w:val="left"/>
        <w:rPr>
          <w:rFonts w:ascii="Calibri" w:hAnsi="Calibri" w:cs="Calibri"/>
          <w:i/>
          <w:iCs/>
          <w:sz w:val="24"/>
          <w:szCs w:val="24"/>
        </w:rPr>
      </w:pP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>5</w:t>
      </w:r>
      <w:r w:rsidRPr="00EF0206">
        <w:rPr>
          <w:rFonts w:ascii="Calibri" w:hAnsi="Calibri" w:cs="Calibri"/>
          <w:i/>
          <w:iCs/>
          <w:sz w:val="24"/>
          <w:szCs w:val="24"/>
        </w:rPr>
        <w:t xml:space="preserve"> Division of </w:t>
      </w:r>
      <w:r w:rsidRPr="00EF0206">
        <w:rPr>
          <w:rFonts w:ascii="Calibri" w:hAnsi="Calibri" w:cs="Calibri"/>
          <w:i/>
          <w:iCs/>
          <w:color w:val="222222"/>
          <w:sz w:val="24"/>
          <w:szCs w:val="24"/>
          <w:shd w:val="clear" w:color="auto" w:fill="FFFFFF"/>
        </w:rPr>
        <w:t>Gastroenterology, Hepatology &amp; Nutrition</w:t>
      </w:r>
      <w:r w:rsidRPr="00EF0206">
        <w:rPr>
          <w:rFonts w:ascii="Calibri" w:hAnsi="Calibri" w:cs="Calibri"/>
          <w:i/>
          <w:iCs/>
          <w:sz w:val="24"/>
          <w:szCs w:val="24"/>
        </w:rPr>
        <w:t>, Department of Medicine, The Ohio State University</w:t>
      </w:r>
    </w:p>
    <w:p w14:paraId="4A3AD774" w14:textId="7B0651A2" w:rsidR="00C3568A" w:rsidRPr="00EF0206" w:rsidRDefault="00C3568A" w:rsidP="00EF0206">
      <w:pPr>
        <w:snapToGrid w:val="0"/>
        <w:spacing w:after="0" w:line="240" w:lineRule="auto"/>
        <w:jc w:val="left"/>
        <w:rPr>
          <w:rFonts w:ascii="Calibri" w:hAnsi="Calibri" w:cs="Calibri"/>
          <w:i/>
          <w:iCs/>
          <w:sz w:val="24"/>
          <w:szCs w:val="24"/>
        </w:rPr>
      </w:pPr>
      <w:r w:rsidRPr="00EF0206">
        <w:rPr>
          <w:rFonts w:ascii="Calibri" w:hAnsi="Calibri" w:cs="Calibri"/>
          <w:i/>
          <w:iCs/>
          <w:sz w:val="24"/>
          <w:szCs w:val="24"/>
          <w:vertAlign w:val="superscript"/>
        </w:rPr>
        <w:t xml:space="preserve">6 </w:t>
      </w:r>
      <w:r w:rsidRPr="00EF0206">
        <w:rPr>
          <w:rFonts w:ascii="Calibri" w:hAnsi="Calibri" w:cs="Calibri"/>
          <w:i/>
          <w:iCs/>
          <w:sz w:val="24"/>
          <w:szCs w:val="24"/>
        </w:rPr>
        <w:t>The Comprehensive Cancer Center, The Ohio State University</w:t>
      </w:r>
    </w:p>
    <w:p w14:paraId="2798B862" w14:textId="736545BE" w:rsidR="00FA2BE5" w:rsidRDefault="00FA2BE5">
      <w:pPr>
        <w:rPr>
          <w:rFonts w:ascii="Calibri" w:hAnsi="Calibri" w:cs="Calibri"/>
          <w:sz w:val="24"/>
          <w:szCs w:val="24"/>
        </w:rPr>
      </w:pPr>
    </w:p>
    <w:p w14:paraId="552250B5" w14:textId="71D8D237" w:rsidR="004B5A57" w:rsidRDefault="00FA2BE5" w:rsidP="00A723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</w:t>
      </w:r>
      <w:r w:rsidR="00962F7C" w:rsidRPr="001F6129">
        <w:rPr>
          <w:rFonts w:ascii="Calibri" w:hAnsi="Calibri" w:cs="Calibri"/>
          <w:sz w:val="24"/>
          <w:szCs w:val="24"/>
        </w:rPr>
        <w:t xml:space="preserve">ecent </w:t>
      </w:r>
      <w:r>
        <w:rPr>
          <w:rFonts w:ascii="Calibri" w:hAnsi="Calibri" w:cs="Calibri"/>
          <w:sz w:val="24"/>
          <w:szCs w:val="24"/>
        </w:rPr>
        <w:t xml:space="preserve">clinical pharmacology </w:t>
      </w:r>
      <w:r w:rsidR="00962F7C" w:rsidRPr="001F6129">
        <w:rPr>
          <w:rFonts w:ascii="Calibri" w:hAnsi="Calibri" w:cs="Calibri"/>
          <w:sz w:val="24"/>
          <w:szCs w:val="24"/>
        </w:rPr>
        <w:t xml:space="preserve">studies have </w:t>
      </w:r>
      <w:r w:rsidR="002712C3" w:rsidRPr="001F6129">
        <w:rPr>
          <w:rFonts w:ascii="Calibri" w:hAnsi="Calibri" w:cs="Calibri"/>
          <w:sz w:val="24"/>
          <w:szCs w:val="24"/>
        </w:rPr>
        <w:t>revealed</w:t>
      </w:r>
      <w:r w:rsidR="00962F7C" w:rsidRPr="001F6129">
        <w:rPr>
          <w:rFonts w:ascii="Calibri" w:hAnsi="Calibri" w:cs="Calibri"/>
          <w:sz w:val="24"/>
          <w:szCs w:val="24"/>
        </w:rPr>
        <w:t xml:space="preserve"> that </w:t>
      </w:r>
      <w:r>
        <w:rPr>
          <w:rFonts w:ascii="Calibri" w:hAnsi="Calibri" w:cs="Calibri"/>
          <w:sz w:val="24"/>
          <w:szCs w:val="24"/>
        </w:rPr>
        <w:t>elevated clearance (CL) of monoclonal antibody (</w:t>
      </w:r>
      <w:proofErr w:type="spellStart"/>
      <w:r>
        <w:rPr>
          <w:rFonts w:ascii="Calibri" w:hAnsi="Calibri" w:cs="Calibri"/>
          <w:sz w:val="24"/>
          <w:szCs w:val="24"/>
        </w:rPr>
        <w:t>mAb</w:t>
      </w:r>
      <w:proofErr w:type="spellEnd"/>
      <w:r>
        <w:rPr>
          <w:rFonts w:ascii="Calibri" w:hAnsi="Calibri" w:cs="Calibri"/>
          <w:sz w:val="24"/>
          <w:szCs w:val="24"/>
        </w:rPr>
        <w:t xml:space="preserve">) immune checkpoint inhibitor (ICI) therapies was associated with shorter overall survival </w:t>
      </w:r>
      <w:r w:rsidR="00C25184">
        <w:rPr>
          <w:rFonts w:ascii="Calibri" w:hAnsi="Calibri" w:cs="Calibri"/>
          <w:sz w:val="24"/>
          <w:szCs w:val="24"/>
        </w:rPr>
        <w:t xml:space="preserve">(OS) </w:t>
      </w:r>
      <w:r>
        <w:rPr>
          <w:rFonts w:ascii="Calibri" w:hAnsi="Calibri" w:cs="Calibri"/>
          <w:sz w:val="24"/>
          <w:szCs w:val="24"/>
        </w:rPr>
        <w:t xml:space="preserve">in patients with solid tumors and evidence of cancer-associated cachexia. </w:t>
      </w:r>
      <w:r w:rsidR="002712C3" w:rsidRPr="001F6129">
        <w:rPr>
          <w:rFonts w:ascii="Calibri" w:hAnsi="Calibri" w:cs="Calibri"/>
          <w:sz w:val="24"/>
          <w:szCs w:val="24"/>
        </w:rPr>
        <w:t>Turner et al. (</w:t>
      </w:r>
      <w:r w:rsidR="001519C7" w:rsidRPr="001F6129">
        <w:rPr>
          <w:rFonts w:ascii="Calibri" w:hAnsi="Calibri" w:cs="Calibri"/>
          <w:sz w:val="24"/>
          <w:szCs w:val="24"/>
        </w:rPr>
        <w:t xml:space="preserve">2018) </w:t>
      </w:r>
      <w:r w:rsidR="00B64D2C" w:rsidRPr="001F6129">
        <w:rPr>
          <w:rFonts w:ascii="Calibri" w:hAnsi="Calibri" w:cs="Calibri"/>
          <w:sz w:val="24"/>
          <w:szCs w:val="24"/>
        </w:rPr>
        <w:t xml:space="preserve">presented their analysis of OS for pembrolizumab-treated patients in </w:t>
      </w:r>
      <w:r w:rsidR="001519C7" w:rsidRPr="001F6129">
        <w:rPr>
          <w:rFonts w:ascii="Calibri" w:hAnsi="Calibri" w:cs="Calibri"/>
          <w:sz w:val="24"/>
          <w:szCs w:val="24"/>
        </w:rPr>
        <w:t>advanced melanoma and non-small cell lung cancer (NSCLC)</w:t>
      </w:r>
      <w:r w:rsidR="00B64D2C" w:rsidRPr="001F6129">
        <w:rPr>
          <w:rFonts w:ascii="Calibri" w:hAnsi="Calibri" w:cs="Calibri"/>
          <w:sz w:val="24"/>
          <w:szCs w:val="24"/>
        </w:rPr>
        <w:t xml:space="preserve">, and they found that </w:t>
      </w:r>
      <w:r w:rsidR="008638F0" w:rsidRPr="001F6129">
        <w:rPr>
          <w:rFonts w:ascii="Calibri" w:hAnsi="Calibri" w:cs="Calibri"/>
          <w:sz w:val="24"/>
          <w:szCs w:val="24"/>
        </w:rPr>
        <w:t xml:space="preserve">subjects with </w:t>
      </w:r>
      <w:r w:rsidR="00B64D2C" w:rsidRPr="001F6129">
        <w:rPr>
          <w:rFonts w:ascii="Calibri" w:hAnsi="Calibri" w:cs="Calibri"/>
          <w:sz w:val="24"/>
          <w:szCs w:val="24"/>
        </w:rPr>
        <w:t>high pembrolizumab baseline clearance (CL</w:t>
      </w:r>
      <w:r w:rsidR="00B64D2C" w:rsidRPr="00966465">
        <w:rPr>
          <w:rFonts w:ascii="Calibri" w:hAnsi="Calibri" w:cs="Calibri"/>
          <w:sz w:val="24"/>
          <w:szCs w:val="24"/>
          <w:vertAlign w:val="subscript"/>
        </w:rPr>
        <w:t>0</w:t>
      </w:r>
      <w:r w:rsidR="00B64D2C" w:rsidRPr="001F6129">
        <w:rPr>
          <w:rFonts w:ascii="Calibri" w:hAnsi="Calibri" w:cs="Calibri"/>
          <w:sz w:val="24"/>
          <w:szCs w:val="24"/>
        </w:rPr>
        <w:t xml:space="preserve">) </w:t>
      </w:r>
      <w:r w:rsidR="008638F0" w:rsidRPr="001F6129">
        <w:rPr>
          <w:rFonts w:ascii="Calibri" w:hAnsi="Calibri" w:cs="Calibri"/>
          <w:sz w:val="24"/>
          <w:szCs w:val="24"/>
        </w:rPr>
        <w:t xml:space="preserve">had cachexia-related </w:t>
      </w:r>
      <w:r w:rsidR="006406CF" w:rsidRPr="001F6129">
        <w:rPr>
          <w:rFonts w:ascii="Calibri" w:hAnsi="Calibri" w:cs="Calibri"/>
          <w:sz w:val="24"/>
          <w:szCs w:val="24"/>
        </w:rPr>
        <w:t>factors</w:t>
      </w:r>
      <w:r w:rsidR="008638F0" w:rsidRPr="001F6129">
        <w:rPr>
          <w:rFonts w:ascii="Calibri" w:hAnsi="Calibri" w:cs="Calibri"/>
          <w:sz w:val="24"/>
          <w:szCs w:val="24"/>
        </w:rPr>
        <w:t xml:space="preserve"> and showed </w:t>
      </w:r>
      <w:r w:rsidR="00B64D2C" w:rsidRPr="001F6129">
        <w:rPr>
          <w:rFonts w:ascii="Calibri" w:hAnsi="Calibri" w:cs="Calibri"/>
          <w:sz w:val="24"/>
          <w:szCs w:val="24"/>
        </w:rPr>
        <w:t xml:space="preserve">decreased OS. </w:t>
      </w:r>
      <w:r w:rsidR="008638F0" w:rsidRPr="001F6129">
        <w:rPr>
          <w:rFonts w:ascii="Calibri" w:hAnsi="Calibri" w:cs="Calibri"/>
          <w:sz w:val="24"/>
          <w:szCs w:val="24"/>
        </w:rPr>
        <w:t>Interestingly, th</w:t>
      </w:r>
      <w:r w:rsidR="006406CF" w:rsidRPr="001F6129">
        <w:rPr>
          <w:rFonts w:ascii="Calibri" w:hAnsi="Calibri" w:cs="Calibri"/>
          <w:sz w:val="24"/>
          <w:szCs w:val="24"/>
        </w:rPr>
        <w:t xml:space="preserve">e decreased OS was independent to pembrolizumab dose and exposure. </w:t>
      </w:r>
      <w:r>
        <w:rPr>
          <w:rFonts w:ascii="Calibri" w:hAnsi="Calibri" w:cs="Calibri"/>
          <w:sz w:val="24"/>
          <w:szCs w:val="24"/>
        </w:rPr>
        <w:t>Our group recently demonstrated elevated CL of the PD-1-targeted ICI, pembrolizumab, could be replicated in the murine C26 and LLC models of cancer</w:t>
      </w:r>
      <w:r w:rsidR="00C25184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associated cachexia</w:t>
      </w:r>
      <w:r w:rsidR="00A660EF">
        <w:rPr>
          <w:rFonts w:ascii="Calibri" w:hAnsi="Calibri" w:cs="Calibri"/>
          <w:sz w:val="24"/>
          <w:szCs w:val="24"/>
        </w:rPr>
        <w:t xml:space="preserve"> (Castillo et al., 2021)</w:t>
      </w:r>
      <w:r>
        <w:rPr>
          <w:rFonts w:ascii="Calibri" w:hAnsi="Calibri" w:cs="Calibri"/>
          <w:sz w:val="24"/>
          <w:szCs w:val="24"/>
        </w:rPr>
        <w:t>, though elevated pembrolizumab CL was not observed in the non-cachectic MC38 tumor model.</w:t>
      </w:r>
      <w:r w:rsidR="00FC7D55">
        <w:rPr>
          <w:rFonts w:ascii="Calibri" w:hAnsi="Calibri" w:cs="Calibri"/>
          <w:sz w:val="24"/>
          <w:szCs w:val="24"/>
        </w:rPr>
        <w:t xml:space="preserve"> Though there are clinical factors (involuntary body weight loss, muscle and fat loss) and biomarkers (e.g. reduced serum albumin) associated with cachexia, there remains a poor understanding of the factors driving cachexia in patients and in animal models. </w:t>
      </w:r>
      <w:r w:rsidR="0038366F">
        <w:rPr>
          <w:rFonts w:ascii="Calibri" w:hAnsi="Calibri" w:cs="Calibri"/>
          <w:sz w:val="24"/>
          <w:szCs w:val="24"/>
        </w:rPr>
        <w:t>Therefore, o</w:t>
      </w:r>
      <w:r w:rsidR="00FC7D55">
        <w:rPr>
          <w:rFonts w:ascii="Calibri" w:hAnsi="Calibri" w:cs="Calibri"/>
          <w:sz w:val="24"/>
          <w:szCs w:val="24"/>
        </w:rPr>
        <w:t xml:space="preserve">ur goal is to understand the underlying mechanisms linking </w:t>
      </w:r>
      <w:proofErr w:type="spellStart"/>
      <w:r w:rsidR="00FC7D55">
        <w:rPr>
          <w:rFonts w:ascii="Calibri" w:hAnsi="Calibri" w:cs="Calibri"/>
          <w:sz w:val="24"/>
          <w:szCs w:val="24"/>
        </w:rPr>
        <w:t>mAb</w:t>
      </w:r>
      <w:proofErr w:type="spellEnd"/>
      <w:r w:rsidR="005B0D4C">
        <w:rPr>
          <w:rFonts w:ascii="Calibri" w:hAnsi="Calibri" w:cs="Calibri"/>
          <w:sz w:val="24"/>
          <w:szCs w:val="24"/>
        </w:rPr>
        <w:t xml:space="preserve"> ICI</w:t>
      </w:r>
      <w:r w:rsidR="00FC7D55">
        <w:rPr>
          <w:rFonts w:ascii="Calibri" w:hAnsi="Calibri" w:cs="Calibri"/>
          <w:sz w:val="24"/>
          <w:szCs w:val="24"/>
        </w:rPr>
        <w:t xml:space="preserve"> CL, anti-tumor efficacy, and cachexia, and we have sought to establish an objective measure o</w:t>
      </w:r>
      <w:r w:rsidR="00A72376">
        <w:rPr>
          <w:rFonts w:ascii="Calibri" w:hAnsi="Calibri" w:cs="Calibri"/>
          <w:sz w:val="24"/>
          <w:szCs w:val="24"/>
        </w:rPr>
        <w:t xml:space="preserve">f cachexia in our murine models. </w:t>
      </w:r>
      <w:r w:rsidR="008A7C1A" w:rsidRPr="001F6129">
        <w:rPr>
          <w:rFonts w:ascii="Calibri" w:hAnsi="Calibri" w:cs="Calibri"/>
          <w:sz w:val="24"/>
          <w:szCs w:val="24"/>
        </w:rPr>
        <w:t>T</w:t>
      </w:r>
      <w:r w:rsidR="00AD54E2" w:rsidRPr="001F6129">
        <w:rPr>
          <w:rFonts w:ascii="Calibri" w:hAnsi="Calibri" w:cs="Calibri"/>
          <w:sz w:val="24"/>
          <w:szCs w:val="24"/>
        </w:rPr>
        <w:t xml:space="preserve">he aim of this study was to </w:t>
      </w:r>
      <w:r w:rsidR="008A7C1A" w:rsidRPr="001F6129">
        <w:rPr>
          <w:rFonts w:ascii="Calibri" w:hAnsi="Calibri" w:cs="Calibri"/>
          <w:sz w:val="24"/>
          <w:szCs w:val="24"/>
        </w:rPr>
        <w:t>develop a mixed-effect</w:t>
      </w:r>
      <w:r w:rsidR="00A72376">
        <w:rPr>
          <w:rFonts w:ascii="Calibri" w:hAnsi="Calibri" w:cs="Calibri"/>
          <w:sz w:val="24"/>
          <w:szCs w:val="24"/>
        </w:rPr>
        <w:t>s</w:t>
      </w:r>
      <w:r w:rsidR="008A7C1A" w:rsidRPr="001F6129">
        <w:rPr>
          <w:rFonts w:ascii="Calibri" w:hAnsi="Calibri" w:cs="Calibri"/>
          <w:sz w:val="24"/>
          <w:szCs w:val="24"/>
        </w:rPr>
        <w:t xml:space="preserve"> pharmacokinetic (PK) model which can explain the difference </w:t>
      </w:r>
      <w:r w:rsidR="00C25184">
        <w:rPr>
          <w:rFonts w:ascii="Calibri" w:hAnsi="Calibri" w:cs="Calibri"/>
          <w:sz w:val="24"/>
          <w:szCs w:val="24"/>
        </w:rPr>
        <w:t>in</w:t>
      </w:r>
      <w:r w:rsidR="00C25184" w:rsidRPr="001F6129">
        <w:rPr>
          <w:rFonts w:ascii="Calibri" w:hAnsi="Calibri" w:cs="Calibri"/>
          <w:sz w:val="24"/>
          <w:szCs w:val="24"/>
        </w:rPr>
        <w:t xml:space="preserve"> </w:t>
      </w:r>
      <w:r w:rsidR="008A7C1A" w:rsidRPr="001F6129">
        <w:rPr>
          <w:rFonts w:ascii="Calibri" w:hAnsi="Calibri" w:cs="Calibri"/>
          <w:sz w:val="24"/>
          <w:szCs w:val="24"/>
        </w:rPr>
        <w:t xml:space="preserve">pembrolizumab </w:t>
      </w:r>
      <w:r w:rsidR="002C146D">
        <w:rPr>
          <w:rFonts w:ascii="Calibri" w:hAnsi="Calibri" w:cs="Calibri"/>
          <w:sz w:val="24"/>
          <w:szCs w:val="24"/>
        </w:rPr>
        <w:t xml:space="preserve">CL </w:t>
      </w:r>
      <w:r w:rsidR="008A7C1A" w:rsidRPr="001F6129">
        <w:rPr>
          <w:rFonts w:ascii="Calibri" w:hAnsi="Calibri" w:cs="Calibri"/>
          <w:sz w:val="24"/>
          <w:szCs w:val="24"/>
        </w:rPr>
        <w:t xml:space="preserve">between cachectic </w:t>
      </w:r>
      <w:r w:rsidR="00A72376">
        <w:rPr>
          <w:rFonts w:ascii="Calibri" w:hAnsi="Calibri" w:cs="Calibri"/>
          <w:sz w:val="24"/>
          <w:szCs w:val="24"/>
        </w:rPr>
        <w:t xml:space="preserve">(colon carcinoma, </w:t>
      </w:r>
      <w:r w:rsidR="00A72376" w:rsidRPr="001F6129">
        <w:rPr>
          <w:rFonts w:ascii="Calibri" w:hAnsi="Calibri" w:cs="Calibri"/>
          <w:sz w:val="24"/>
          <w:szCs w:val="24"/>
        </w:rPr>
        <w:t>C</w:t>
      </w:r>
      <w:r w:rsidR="00A72376">
        <w:rPr>
          <w:rFonts w:ascii="Calibri" w:hAnsi="Calibri" w:cs="Calibri"/>
          <w:sz w:val="24"/>
          <w:szCs w:val="24"/>
        </w:rPr>
        <w:t>26; Lewis lung carcinoma, LLC)</w:t>
      </w:r>
      <w:r w:rsidR="00A72376" w:rsidRPr="001F6129">
        <w:rPr>
          <w:rFonts w:ascii="Calibri" w:hAnsi="Calibri" w:cs="Calibri"/>
          <w:sz w:val="24"/>
          <w:szCs w:val="24"/>
        </w:rPr>
        <w:t xml:space="preserve">, </w:t>
      </w:r>
      <w:r w:rsidR="008A7C1A" w:rsidRPr="001F6129">
        <w:rPr>
          <w:rFonts w:ascii="Calibri" w:hAnsi="Calibri" w:cs="Calibri"/>
          <w:sz w:val="24"/>
          <w:szCs w:val="24"/>
        </w:rPr>
        <w:t xml:space="preserve">and non-cachectic </w:t>
      </w:r>
      <w:r w:rsidR="00A72376">
        <w:rPr>
          <w:rFonts w:ascii="Calibri" w:hAnsi="Calibri" w:cs="Calibri"/>
          <w:sz w:val="24"/>
          <w:szCs w:val="24"/>
        </w:rPr>
        <w:t>(</w:t>
      </w:r>
      <w:r w:rsidR="00A72376" w:rsidRPr="001F6129">
        <w:rPr>
          <w:rFonts w:ascii="Calibri" w:hAnsi="Calibri" w:cs="Calibri"/>
          <w:sz w:val="24"/>
          <w:szCs w:val="24"/>
        </w:rPr>
        <w:t>colon adenocarcinoma</w:t>
      </w:r>
      <w:r w:rsidR="00A72376">
        <w:rPr>
          <w:rFonts w:ascii="Calibri" w:hAnsi="Calibri" w:cs="Calibri"/>
          <w:sz w:val="24"/>
          <w:szCs w:val="24"/>
        </w:rPr>
        <w:t>,</w:t>
      </w:r>
      <w:r w:rsidR="00A72376" w:rsidRPr="001F6129">
        <w:rPr>
          <w:rFonts w:ascii="Calibri" w:hAnsi="Calibri" w:cs="Calibri"/>
          <w:sz w:val="24"/>
          <w:szCs w:val="24"/>
        </w:rPr>
        <w:t xml:space="preserve"> MC38)</w:t>
      </w:r>
      <w:r w:rsidR="00387AD1">
        <w:rPr>
          <w:rFonts w:ascii="Calibri" w:hAnsi="Calibri" w:cs="Calibri"/>
          <w:sz w:val="24"/>
          <w:szCs w:val="24"/>
        </w:rPr>
        <w:t xml:space="preserve"> </w:t>
      </w:r>
      <w:r w:rsidR="00A72376">
        <w:rPr>
          <w:rFonts w:ascii="Calibri" w:hAnsi="Calibri" w:cs="Calibri"/>
          <w:sz w:val="24"/>
          <w:szCs w:val="24"/>
        </w:rPr>
        <w:t>mouse models</w:t>
      </w:r>
      <w:r w:rsidR="008A7C1A" w:rsidRPr="001F6129">
        <w:rPr>
          <w:rFonts w:ascii="Calibri" w:hAnsi="Calibri" w:cs="Calibri"/>
          <w:sz w:val="24"/>
          <w:szCs w:val="24"/>
        </w:rPr>
        <w:t xml:space="preserve">. </w:t>
      </w:r>
      <w:r w:rsidR="009E679B" w:rsidRPr="001F6129">
        <w:rPr>
          <w:rFonts w:ascii="Calibri" w:hAnsi="Calibri" w:cs="Calibri"/>
          <w:sz w:val="24"/>
          <w:szCs w:val="24"/>
        </w:rPr>
        <w:t xml:space="preserve">The model was able to </w:t>
      </w:r>
      <w:r w:rsidR="001F6129" w:rsidRPr="001F6129">
        <w:rPr>
          <w:rFonts w:ascii="Calibri" w:hAnsi="Calibri" w:cs="Calibri"/>
          <w:sz w:val="24"/>
          <w:szCs w:val="24"/>
        </w:rPr>
        <w:t>predict</w:t>
      </w:r>
      <w:r w:rsidR="009E679B" w:rsidRPr="001F6129">
        <w:rPr>
          <w:rFonts w:ascii="Calibri" w:hAnsi="Calibri" w:cs="Calibri"/>
          <w:sz w:val="24"/>
          <w:szCs w:val="24"/>
        </w:rPr>
        <w:t xml:space="preserve"> pembrolizumab PK in </w:t>
      </w:r>
      <w:r w:rsidR="001F6129" w:rsidRPr="001F6129">
        <w:rPr>
          <w:rFonts w:ascii="Calibri" w:hAnsi="Calibri" w:cs="Calibri"/>
          <w:sz w:val="24"/>
          <w:szCs w:val="24"/>
        </w:rPr>
        <w:t xml:space="preserve">individual </w:t>
      </w:r>
      <w:r w:rsidR="009E679B" w:rsidRPr="001F6129">
        <w:rPr>
          <w:rFonts w:ascii="Calibri" w:hAnsi="Calibri" w:cs="Calibri"/>
          <w:sz w:val="24"/>
          <w:szCs w:val="24"/>
        </w:rPr>
        <w:t xml:space="preserve">mice, and it </w:t>
      </w:r>
      <w:r w:rsidR="001F6129" w:rsidRPr="001F6129">
        <w:rPr>
          <w:rFonts w:ascii="Calibri" w:hAnsi="Calibri" w:cs="Calibri"/>
          <w:sz w:val="24"/>
          <w:szCs w:val="24"/>
        </w:rPr>
        <w:t xml:space="preserve">incorporated </w:t>
      </w:r>
      <w:r w:rsidR="00B353A0" w:rsidRPr="001F6129">
        <w:rPr>
          <w:rFonts w:ascii="Calibri" w:hAnsi="Calibri" w:cs="Calibri"/>
          <w:sz w:val="24"/>
          <w:szCs w:val="24"/>
        </w:rPr>
        <w:t xml:space="preserve">several </w:t>
      </w:r>
      <w:r w:rsidR="001F6129" w:rsidRPr="001F6129">
        <w:rPr>
          <w:rFonts w:ascii="Calibri" w:hAnsi="Calibri" w:cs="Calibri"/>
          <w:sz w:val="24"/>
          <w:szCs w:val="24"/>
        </w:rPr>
        <w:t>covariates</w:t>
      </w:r>
      <w:r w:rsidR="001F6129">
        <w:rPr>
          <w:rFonts w:ascii="Calibri" w:hAnsi="Calibri" w:cs="Calibri"/>
          <w:sz w:val="24"/>
          <w:szCs w:val="24"/>
        </w:rPr>
        <w:t>:</w:t>
      </w:r>
      <w:r w:rsidR="00B353A0" w:rsidRPr="001F6129">
        <w:rPr>
          <w:rFonts w:ascii="Calibri" w:hAnsi="Calibri" w:cs="Calibri"/>
          <w:sz w:val="24"/>
          <w:szCs w:val="24"/>
        </w:rPr>
        <w:t xml:space="preserve"> murine IgG concentration, terminal fat weight, and </w:t>
      </w:r>
      <w:proofErr w:type="spellStart"/>
      <w:r w:rsidR="00B353A0" w:rsidRPr="001F6129">
        <w:rPr>
          <w:rFonts w:ascii="Calibri" w:hAnsi="Calibri" w:cs="Calibri"/>
          <w:sz w:val="24"/>
          <w:szCs w:val="24"/>
        </w:rPr>
        <w:t>Fcgrt</w:t>
      </w:r>
      <w:proofErr w:type="spellEnd"/>
      <w:r w:rsidR="00B353A0" w:rsidRPr="001F6129">
        <w:rPr>
          <w:rFonts w:ascii="Calibri" w:hAnsi="Calibri" w:cs="Calibri"/>
          <w:sz w:val="24"/>
          <w:szCs w:val="24"/>
        </w:rPr>
        <w:t xml:space="preserve"> expression. </w:t>
      </w:r>
      <w:r w:rsidR="001F6129">
        <w:rPr>
          <w:rFonts w:ascii="Calibri" w:hAnsi="Calibri" w:cs="Calibri"/>
          <w:sz w:val="24"/>
          <w:szCs w:val="24"/>
        </w:rPr>
        <w:t xml:space="preserve">Moreover, </w:t>
      </w:r>
      <w:r w:rsidR="004B5A57">
        <w:rPr>
          <w:rFonts w:ascii="Calibri" w:hAnsi="Calibri" w:cs="Calibri"/>
          <w:sz w:val="24"/>
          <w:szCs w:val="24"/>
        </w:rPr>
        <w:t xml:space="preserve">the model was capable </w:t>
      </w:r>
      <w:r w:rsidR="00A72376">
        <w:rPr>
          <w:rFonts w:ascii="Calibri" w:hAnsi="Calibri" w:cs="Calibri"/>
          <w:sz w:val="24"/>
          <w:szCs w:val="24"/>
        </w:rPr>
        <w:t xml:space="preserve">of </w:t>
      </w:r>
      <w:r w:rsidR="004B5A57">
        <w:rPr>
          <w:rFonts w:ascii="Calibri" w:hAnsi="Calibri" w:cs="Calibri"/>
          <w:sz w:val="24"/>
          <w:szCs w:val="24"/>
        </w:rPr>
        <w:t>explain</w:t>
      </w:r>
      <w:r w:rsidR="00A72376">
        <w:rPr>
          <w:rFonts w:ascii="Calibri" w:hAnsi="Calibri" w:cs="Calibri"/>
          <w:sz w:val="24"/>
          <w:szCs w:val="24"/>
        </w:rPr>
        <w:t>ing</w:t>
      </w:r>
      <w:r w:rsidR="004B5A57">
        <w:rPr>
          <w:rFonts w:ascii="Calibri" w:hAnsi="Calibri" w:cs="Calibri"/>
          <w:sz w:val="24"/>
          <w:szCs w:val="24"/>
        </w:rPr>
        <w:t xml:space="preserve"> elevated pembrolizumab CL in the two cachectic cancer models</w:t>
      </w:r>
      <w:r w:rsidR="001C7A30">
        <w:rPr>
          <w:rFonts w:ascii="Calibri" w:hAnsi="Calibri" w:cs="Calibri"/>
          <w:sz w:val="24"/>
          <w:szCs w:val="24"/>
        </w:rPr>
        <w:t xml:space="preserve"> (C26 and LLC)</w:t>
      </w:r>
      <w:r w:rsidR="004B5A57">
        <w:rPr>
          <w:rFonts w:ascii="Calibri" w:hAnsi="Calibri" w:cs="Calibri"/>
          <w:sz w:val="24"/>
          <w:szCs w:val="24"/>
        </w:rPr>
        <w:t xml:space="preserve"> versus the tumor</w:t>
      </w:r>
      <w:r w:rsidR="00A72376">
        <w:rPr>
          <w:rFonts w:ascii="Calibri" w:hAnsi="Calibri" w:cs="Calibri"/>
          <w:sz w:val="24"/>
          <w:szCs w:val="24"/>
        </w:rPr>
        <w:t>-</w:t>
      </w:r>
      <w:r w:rsidR="004B5A57">
        <w:rPr>
          <w:rFonts w:ascii="Calibri" w:hAnsi="Calibri" w:cs="Calibri"/>
          <w:sz w:val="24"/>
          <w:szCs w:val="24"/>
        </w:rPr>
        <w:t xml:space="preserve">free </w:t>
      </w:r>
      <w:r w:rsidR="001C7A30">
        <w:rPr>
          <w:rFonts w:ascii="Calibri" w:hAnsi="Calibri" w:cs="Calibri"/>
          <w:sz w:val="24"/>
          <w:szCs w:val="24"/>
        </w:rPr>
        <w:t>and the non-cachectic cancer model (MC38)</w:t>
      </w:r>
      <w:r w:rsidR="004B5A57">
        <w:rPr>
          <w:rFonts w:ascii="Calibri" w:hAnsi="Calibri" w:cs="Calibri"/>
          <w:sz w:val="24"/>
          <w:szCs w:val="24"/>
        </w:rPr>
        <w:t xml:space="preserve">. This </w:t>
      </w:r>
      <w:r w:rsidR="00A72376">
        <w:rPr>
          <w:rFonts w:ascii="Calibri" w:hAnsi="Calibri" w:cs="Calibri"/>
          <w:sz w:val="24"/>
          <w:szCs w:val="24"/>
        </w:rPr>
        <w:t xml:space="preserve">demonstrated </w:t>
      </w:r>
      <w:r w:rsidR="00B27D64">
        <w:rPr>
          <w:rFonts w:ascii="Calibri" w:hAnsi="Calibri" w:cs="Calibri"/>
          <w:sz w:val="24"/>
          <w:szCs w:val="24"/>
        </w:rPr>
        <w:t xml:space="preserve">the </w:t>
      </w:r>
      <w:r w:rsidR="00A72376">
        <w:rPr>
          <w:rFonts w:ascii="Calibri" w:hAnsi="Calibri" w:cs="Calibri"/>
          <w:sz w:val="24"/>
          <w:szCs w:val="24"/>
        </w:rPr>
        <w:t xml:space="preserve">modeling approach serves </w:t>
      </w:r>
      <w:proofErr w:type="gramStart"/>
      <w:r w:rsidR="00A72376">
        <w:rPr>
          <w:rFonts w:ascii="Calibri" w:hAnsi="Calibri" w:cs="Calibri"/>
          <w:sz w:val="24"/>
          <w:szCs w:val="24"/>
        </w:rPr>
        <w:t>as a means to</w:t>
      </w:r>
      <w:proofErr w:type="gramEnd"/>
      <w:r w:rsidR="00A72376">
        <w:rPr>
          <w:rFonts w:ascii="Calibri" w:hAnsi="Calibri" w:cs="Calibri"/>
          <w:sz w:val="24"/>
          <w:szCs w:val="24"/>
        </w:rPr>
        <w:t xml:space="preserve"> identify factors impacting ICI </w:t>
      </w:r>
      <w:proofErr w:type="spellStart"/>
      <w:r w:rsidR="00A72376">
        <w:rPr>
          <w:rFonts w:ascii="Calibri" w:hAnsi="Calibri" w:cs="Calibri"/>
          <w:sz w:val="24"/>
          <w:szCs w:val="24"/>
        </w:rPr>
        <w:t>mAb</w:t>
      </w:r>
      <w:proofErr w:type="spellEnd"/>
      <w:r w:rsidR="00A72376">
        <w:rPr>
          <w:rFonts w:ascii="Calibri" w:hAnsi="Calibri" w:cs="Calibri"/>
          <w:sz w:val="24"/>
          <w:szCs w:val="24"/>
        </w:rPr>
        <w:t xml:space="preserve"> CL and may also enable a novel, objective </w:t>
      </w:r>
      <w:r w:rsidR="00B27D64">
        <w:rPr>
          <w:rFonts w:ascii="Calibri" w:hAnsi="Calibri" w:cs="Calibri"/>
          <w:sz w:val="24"/>
          <w:szCs w:val="24"/>
        </w:rPr>
        <w:t>defin</w:t>
      </w:r>
      <w:r w:rsidR="00A72376">
        <w:rPr>
          <w:rFonts w:ascii="Calibri" w:hAnsi="Calibri" w:cs="Calibri"/>
          <w:sz w:val="24"/>
          <w:szCs w:val="24"/>
        </w:rPr>
        <w:t>ition of</w:t>
      </w:r>
      <w:r w:rsidR="00B27D64">
        <w:rPr>
          <w:rFonts w:ascii="Calibri" w:hAnsi="Calibri" w:cs="Calibri"/>
          <w:sz w:val="24"/>
          <w:szCs w:val="24"/>
        </w:rPr>
        <w:t xml:space="preserve"> cachexia in mice. </w:t>
      </w:r>
    </w:p>
    <w:p w14:paraId="6AC44CD2" w14:textId="77777777" w:rsidR="006C1B57" w:rsidRDefault="006C1B57">
      <w:pPr>
        <w:rPr>
          <w:rFonts w:ascii="Calibri" w:hAnsi="Calibri" w:cs="Calibri"/>
          <w:szCs w:val="20"/>
        </w:rPr>
      </w:pPr>
    </w:p>
    <w:p w14:paraId="3268A409" w14:textId="199B02BA" w:rsidR="00C3568A" w:rsidRDefault="002712C3" w:rsidP="00D70F3C">
      <w:pPr>
        <w:jc w:val="left"/>
        <w:rPr>
          <w:rFonts w:ascii="Calibri" w:hAnsi="Calibri" w:cs="Calibri"/>
          <w:szCs w:val="20"/>
        </w:rPr>
      </w:pPr>
      <w:r w:rsidRPr="001F6129">
        <w:rPr>
          <w:rFonts w:ascii="Calibri" w:hAnsi="Calibri" w:cs="Calibri"/>
          <w:szCs w:val="20"/>
        </w:rPr>
        <w:lastRenderedPageBreak/>
        <w:t>Reference</w:t>
      </w:r>
      <w:r w:rsidR="001F6129">
        <w:rPr>
          <w:rFonts w:ascii="Calibri" w:hAnsi="Calibri" w:cs="Calibri"/>
          <w:szCs w:val="20"/>
        </w:rPr>
        <w:t xml:space="preserve"> </w:t>
      </w:r>
    </w:p>
    <w:p w14:paraId="71626EF8" w14:textId="3D5C0D39" w:rsidR="00F71101" w:rsidRPr="00412820" w:rsidRDefault="00F71101" w:rsidP="00D70F3C">
      <w:pPr>
        <w:pStyle w:val="a4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 w:left="426"/>
        <w:jc w:val="left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412820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 xml:space="preserve">Turner DC, </w:t>
      </w:r>
      <w:proofErr w:type="spellStart"/>
      <w:r w:rsidRPr="00412820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>Kondic</w:t>
      </w:r>
      <w:proofErr w:type="spellEnd"/>
      <w:r w:rsidRPr="00412820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 xml:space="preserve"> AG, Anderson KM, et al. Pembrolizumab Exposure–Response Assessments Challenged by Association of Cancer Cachexia and Catabolic Clearance. Clin Cancer Res. 2018;24(23):5841-5849.</w:t>
      </w:r>
    </w:p>
    <w:p w14:paraId="3CDA2567" w14:textId="3DBEFF64" w:rsidR="00C3568A" w:rsidRPr="00EF0206" w:rsidRDefault="00F71101" w:rsidP="00D70F3C">
      <w:pPr>
        <w:pStyle w:val="a4"/>
        <w:numPr>
          <w:ilvl w:val="0"/>
          <w:numId w:val="1"/>
        </w:numPr>
        <w:ind w:leftChars="0" w:left="360"/>
        <w:jc w:val="left"/>
      </w:pPr>
      <w:r w:rsidRPr="00412820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>Castillo AM, Vu TT, Liva SG et al. </w:t>
      </w:r>
      <w:r w:rsidR="00C25184" w:rsidRPr="00C25184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>Single-dose pembrolizumab in murine cancer-cachexia models replicates elevated catabolic pembrolizumab clearance in humans</w:t>
      </w:r>
      <w:r w:rsidRPr="00412820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 xml:space="preserve">. JCSM Rapid Communications. </w:t>
      </w:r>
      <w:proofErr w:type="spellStart"/>
      <w:r w:rsidRPr="00412820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>doi</w:t>
      </w:r>
      <w:proofErr w:type="spellEnd"/>
      <w:r w:rsidRPr="00412820">
        <w:rPr>
          <w:rFonts w:ascii="Calibri" w:eastAsia="굴림" w:hAnsi="Calibri" w:cs="Calibri"/>
          <w:color w:val="000000"/>
          <w:kern w:val="0"/>
          <w:szCs w:val="20"/>
          <w:bdr w:val="none" w:sz="0" w:space="0" w:color="auto" w:frame="1"/>
        </w:rPr>
        <w:t>: 10.1002/rco2.32 (Article in press)</w:t>
      </w:r>
    </w:p>
    <w:sectPr w:rsidR="00C3568A" w:rsidRPr="00EF0206" w:rsidSect="00EF0206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31A"/>
    <w:multiLevelType w:val="hybridMultilevel"/>
    <w:tmpl w:val="80F00E1C"/>
    <w:lvl w:ilvl="0" w:tplc="FFF29F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NjY3NzS3MDIyMjdT0lEKTi0uzszPAykwrgUAEg+wNSwAAAA="/>
  </w:docVars>
  <w:rsids>
    <w:rsidRoot w:val="00E87FA3"/>
    <w:rsid w:val="00000B62"/>
    <w:rsid w:val="00020FF4"/>
    <w:rsid w:val="00033506"/>
    <w:rsid w:val="00114FC7"/>
    <w:rsid w:val="001519C7"/>
    <w:rsid w:val="00183554"/>
    <w:rsid w:val="001C7A30"/>
    <w:rsid w:val="001F6129"/>
    <w:rsid w:val="00247BBB"/>
    <w:rsid w:val="002712C3"/>
    <w:rsid w:val="0029689D"/>
    <w:rsid w:val="002C146D"/>
    <w:rsid w:val="00347906"/>
    <w:rsid w:val="0038366F"/>
    <w:rsid w:val="00387AD1"/>
    <w:rsid w:val="003C794C"/>
    <w:rsid w:val="003D22FA"/>
    <w:rsid w:val="003D4219"/>
    <w:rsid w:val="00412820"/>
    <w:rsid w:val="00414738"/>
    <w:rsid w:val="00442546"/>
    <w:rsid w:val="004B5A57"/>
    <w:rsid w:val="005B0D4C"/>
    <w:rsid w:val="005D7CEC"/>
    <w:rsid w:val="006406CF"/>
    <w:rsid w:val="0067046E"/>
    <w:rsid w:val="006C1B57"/>
    <w:rsid w:val="006D0D09"/>
    <w:rsid w:val="007352BD"/>
    <w:rsid w:val="00861A90"/>
    <w:rsid w:val="008638F0"/>
    <w:rsid w:val="00882C76"/>
    <w:rsid w:val="00891FB2"/>
    <w:rsid w:val="008A7C1A"/>
    <w:rsid w:val="009259E0"/>
    <w:rsid w:val="00962F7C"/>
    <w:rsid w:val="00966465"/>
    <w:rsid w:val="009B2445"/>
    <w:rsid w:val="009E2E97"/>
    <w:rsid w:val="009E679B"/>
    <w:rsid w:val="00A660EF"/>
    <w:rsid w:val="00A72376"/>
    <w:rsid w:val="00AD54E2"/>
    <w:rsid w:val="00B27D64"/>
    <w:rsid w:val="00B353A0"/>
    <w:rsid w:val="00B60D1F"/>
    <w:rsid w:val="00B64D2C"/>
    <w:rsid w:val="00BE06C0"/>
    <w:rsid w:val="00C24236"/>
    <w:rsid w:val="00C25184"/>
    <w:rsid w:val="00C3568A"/>
    <w:rsid w:val="00C70D3A"/>
    <w:rsid w:val="00CA1FC8"/>
    <w:rsid w:val="00CB1FED"/>
    <w:rsid w:val="00CC5820"/>
    <w:rsid w:val="00CD322C"/>
    <w:rsid w:val="00D70F3C"/>
    <w:rsid w:val="00DC6489"/>
    <w:rsid w:val="00DE34B9"/>
    <w:rsid w:val="00E87FA3"/>
    <w:rsid w:val="00EF0206"/>
    <w:rsid w:val="00F71101"/>
    <w:rsid w:val="00FA2BE5"/>
    <w:rsid w:val="00FA34AA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C8AB"/>
  <w15:chartTrackingRefBased/>
  <w15:docId w15:val="{4717485D-1F02-42F0-9EB5-0526C12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2BE5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D322C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C2518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25184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C25184"/>
    <w:rPr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25184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C2518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Kyeongmin</dc:creator>
  <cp:keywords/>
  <dc:description/>
  <cp:lastModifiedBy>Kim, Kyeongmin</cp:lastModifiedBy>
  <cp:revision>2</cp:revision>
  <dcterms:created xsi:type="dcterms:W3CDTF">2021-03-01T04:29:00Z</dcterms:created>
  <dcterms:modified xsi:type="dcterms:W3CDTF">2021-03-01T04:29:00Z</dcterms:modified>
</cp:coreProperties>
</file>