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292D9" w14:textId="2F21AA3A" w:rsidR="007C2D80" w:rsidRPr="000F3AA1" w:rsidRDefault="008C1A89" w:rsidP="009731E7">
      <w:pPr>
        <w:widowControl w:val="0"/>
        <w:spacing w:after="0" w:line="240" w:lineRule="auto"/>
        <w:jc w:val="both"/>
        <w:rPr>
          <w:rFonts w:cs="Arial"/>
          <w:sz w:val="28"/>
          <w:szCs w:val="28"/>
        </w:rPr>
      </w:pPr>
      <w:r w:rsidRPr="000F3AA1">
        <w:rPr>
          <w:rFonts w:cs="Arial"/>
          <w:sz w:val="28"/>
          <w:szCs w:val="28"/>
        </w:rPr>
        <w:t>Interaction of the FLT3 Inhibitor Gilteritinib with Xenobiotic Uptake Transporters</w:t>
      </w:r>
    </w:p>
    <w:p w14:paraId="2ED1BF68" w14:textId="77777777" w:rsidR="00FD0912" w:rsidRPr="000F3AA1" w:rsidRDefault="00FD0912" w:rsidP="0039360B">
      <w:pPr>
        <w:widowControl w:val="0"/>
        <w:spacing w:after="0" w:line="240" w:lineRule="auto"/>
        <w:jc w:val="both"/>
        <w:rPr>
          <w:rFonts w:cs="Arial"/>
          <w:sz w:val="20"/>
          <w:szCs w:val="20"/>
        </w:rPr>
      </w:pPr>
    </w:p>
    <w:p w14:paraId="0FB94E2D" w14:textId="3A83745F" w:rsidR="007849A2" w:rsidRPr="000F3AA1" w:rsidRDefault="0071606D" w:rsidP="0039360B">
      <w:pPr>
        <w:widowControl w:val="0"/>
        <w:spacing w:after="0" w:line="240" w:lineRule="auto"/>
        <w:jc w:val="both"/>
        <w:rPr>
          <w:rStyle w:val="Authors"/>
          <w:rFonts w:asciiTheme="minorHAnsi" w:hAnsiTheme="minorHAnsi" w:cs="Arial"/>
          <w:szCs w:val="24"/>
        </w:rPr>
      </w:pPr>
      <w:r w:rsidRPr="000F3AA1">
        <w:rPr>
          <w:rStyle w:val="Authors"/>
          <w:rFonts w:asciiTheme="minorHAnsi" w:hAnsiTheme="minorHAnsi" w:cs="Arial"/>
          <w:szCs w:val="24"/>
          <w:u w:val="single"/>
        </w:rPr>
        <w:t>Dominique A. Garrison</w:t>
      </w:r>
      <w:r w:rsidRPr="000F3AA1">
        <w:rPr>
          <w:rStyle w:val="Authors"/>
          <w:rFonts w:asciiTheme="minorHAnsi" w:hAnsiTheme="minorHAnsi" w:cs="Arial"/>
          <w:szCs w:val="24"/>
        </w:rPr>
        <w:t xml:space="preserve">, Zahra Talebi, </w:t>
      </w:r>
      <w:r w:rsidR="00265CE4" w:rsidRPr="000F3AA1">
        <w:rPr>
          <w:rStyle w:val="Authors"/>
          <w:rFonts w:asciiTheme="minorHAnsi" w:hAnsiTheme="minorHAnsi" w:cs="Arial"/>
          <w:szCs w:val="24"/>
        </w:rPr>
        <w:t xml:space="preserve">Yan Jin, </w:t>
      </w:r>
      <w:r w:rsidR="0080304F" w:rsidRPr="000F3AA1">
        <w:rPr>
          <w:rStyle w:val="Authors"/>
          <w:rFonts w:asciiTheme="minorHAnsi" w:hAnsiTheme="minorHAnsi" w:cs="Arial"/>
          <w:szCs w:val="24"/>
        </w:rPr>
        <w:t xml:space="preserve">Muhammad </w:t>
      </w:r>
      <w:r w:rsidRPr="000F3AA1">
        <w:rPr>
          <w:rStyle w:val="Authors"/>
          <w:rFonts w:asciiTheme="minorHAnsi" w:hAnsiTheme="minorHAnsi" w:cs="Arial"/>
          <w:szCs w:val="24"/>
        </w:rPr>
        <w:t xml:space="preserve">Erfan Uddin, </w:t>
      </w:r>
      <w:r w:rsidR="00E238D3" w:rsidRPr="000F3AA1">
        <w:rPr>
          <w:rStyle w:val="Authors"/>
          <w:rFonts w:asciiTheme="minorHAnsi" w:hAnsiTheme="minorHAnsi" w:cs="Arial"/>
          <w:szCs w:val="24"/>
        </w:rPr>
        <w:t xml:space="preserve">Alice A. Gibson, </w:t>
      </w:r>
      <w:r w:rsidRPr="000F3AA1">
        <w:rPr>
          <w:rStyle w:val="Authors"/>
          <w:rFonts w:asciiTheme="minorHAnsi" w:hAnsiTheme="minorHAnsi" w:cs="Arial"/>
          <w:szCs w:val="24"/>
        </w:rPr>
        <w:t>Alex Sparreboom, Sharyn D. Baker</w:t>
      </w:r>
    </w:p>
    <w:p w14:paraId="5D21D019" w14:textId="77777777" w:rsidR="00674AEC" w:rsidRPr="000F3AA1" w:rsidRDefault="00674AEC" w:rsidP="0039360B">
      <w:pPr>
        <w:widowControl w:val="0"/>
        <w:spacing w:after="0" w:line="240" w:lineRule="auto"/>
        <w:jc w:val="both"/>
        <w:rPr>
          <w:rFonts w:cs="Arial"/>
          <w:sz w:val="24"/>
          <w:szCs w:val="24"/>
        </w:rPr>
      </w:pPr>
    </w:p>
    <w:p w14:paraId="4D4F6CB1" w14:textId="2A09925F" w:rsidR="007849A2" w:rsidRPr="000F3AA1" w:rsidRDefault="007849A2" w:rsidP="0039360B">
      <w:pPr>
        <w:widowControl w:val="0"/>
        <w:spacing w:after="0" w:line="240" w:lineRule="auto"/>
        <w:jc w:val="both"/>
        <w:rPr>
          <w:rFonts w:cs="Arial"/>
          <w:sz w:val="20"/>
          <w:szCs w:val="20"/>
        </w:rPr>
      </w:pPr>
      <w:r w:rsidRPr="000F3AA1">
        <w:rPr>
          <w:rFonts w:cs="Arial"/>
          <w:sz w:val="24"/>
          <w:szCs w:val="24"/>
        </w:rPr>
        <w:t>Division of Pharmaceutics and Pharmacology, The Ohio State University, Columbus, OH</w:t>
      </w:r>
    </w:p>
    <w:p w14:paraId="3D80C2AD" w14:textId="77777777" w:rsidR="007849A2" w:rsidRPr="000F3AA1" w:rsidRDefault="007849A2" w:rsidP="0039360B">
      <w:pPr>
        <w:widowControl w:val="0"/>
        <w:spacing w:after="0" w:line="240" w:lineRule="auto"/>
        <w:jc w:val="both"/>
        <w:rPr>
          <w:rFonts w:cs="Arial"/>
          <w:sz w:val="20"/>
          <w:szCs w:val="20"/>
        </w:rPr>
      </w:pPr>
    </w:p>
    <w:p w14:paraId="756E9677" w14:textId="1E924568" w:rsidR="007C2D80" w:rsidRPr="000F3AA1" w:rsidRDefault="007C2D80" w:rsidP="0039360B">
      <w:pPr>
        <w:widowControl w:val="0"/>
        <w:spacing w:after="0" w:line="240" w:lineRule="auto"/>
        <w:contextualSpacing/>
        <w:jc w:val="both"/>
        <w:rPr>
          <w:rFonts w:cs="Arial"/>
          <w:b/>
          <w:sz w:val="24"/>
          <w:szCs w:val="24"/>
        </w:rPr>
      </w:pPr>
      <w:r w:rsidRPr="000F3AA1">
        <w:rPr>
          <w:rFonts w:cs="Arial"/>
          <w:b/>
          <w:sz w:val="24"/>
          <w:szCs w:val="24"/>
        </w:rPr>
        <w:t xml:space="preserve">Objective: </w:t>
      </w:r>
    </w:p>
    <w:p w14:paraId="2E8F384F" w14:textId="6E36897D" w:rsidR="007C2D80" w:rsidRPr="000F3AA1" w:rsidRDefault="00152089" w:rsidP="0039360B">
      <w:pPr>
        <w:widowControl w:val="0"/>
        <w:spacing w:after="0" w:line="240" w:lineRule="auto"/>
        <w:contextualSpacing/>
        <w:jc w:val="both"/>
        <w:rPr>
          <w:rFonts w:cs="Arial"/>
          <w:color w:val="000000"/>
          <w:sz w:val="24"/>
          <w:szCs w:val="24"/>
        </w:rPr>
      </w:pPr>
      <w:r w:rsidRPr="000F3AA1">
        <w:rPr>
          <w:rFonts w:cs="Arial"/>
          <w:color w:val="000000"/>
          <w:sz w:val="24"/>
          <w:szCs w:val="24"/>
        </w:rPr>
        <w:t xml:space="preserve">Gilteritinib is a kinase inhibitor approved for relapsed/refractory FLT3-mutated acute myeloid leukemia. </w:t>
      </w:r>
      <w:r w:rsidR="007F255C" w:rsidRPr="000F3AA1">
        <w:rPr>
          <w:rFonts w:cs="Arial"/>
          <w:color w:val="000000"/>
          <w:sz w:val="24"/>
          <w:szCs w:val="24"/>
        </w:rPr>
        <w:t xml:space="preserve">The pharmacokinetic properties of gilteritinib are characterized by extensive differences in exposure between patients receiving the same therapeutic regimen, and this high degree of inter-individual variability may have important toxicological ramification. </w:t>
      </w:r>
      <w:r w:rsidRPr="000F3AA1">
        <w:rPr>
          <w:rFonts w:cs="Arial"/>
          <w:color w:val="000000"/>
          <w:sz w:val="24"/>
          <w:szCs w:val="24"/>
        </w:rPr>
        <w:t xml:space="preserve">Gilteritinib is believed to be primarily eliminated via CYP3A4-mediated metabolism </w:t>
      </w:r>
      <w:r w:rsidR="008C1A89" w:rsidRPr="000F3AA1">
        <w:rPr>
          <w:rFonts w:cs="Arial"/>
          <w:color w:val="000000"/>
          <w:sz w:val="24"/>
          <w:szCs w:val="24"/>
        </w:rPr>
        <w:t xml:space="preserve">but mechanisms of hepatocellular uptake </w:t>
      </w:r>
      <w:r w:rsidR="007F255C" w:rsidRPr="000F3AA1">
        <w:rPr>
          <w:rFonts w:cs="Arial"/>
          <w:color w:val="000000"/>
          <w:sz w:val="24"/>
          <w:szCs w:val="24"/>
        </w:rPr>
        <w:t xml:space="preserve">and its interaction with xenobiotic transporters </w:t>
      </w:r>
      <w:r w:rsidR="008C1A89" w:rsidRPr="000F3AA1">
        <w:rPr>
          <w:rFonts w:cs="Arial"/>
          <w:color w:val="000000"/>
          <w:sz w:val="24"/>
          <w:szCs w:val="24"/>
        </w:rPr>
        <w:t xml:space="preserve">remain poorly understood. </w:t>
      </w:r>
      <w:r w:rsidR="007F255C" w:rsidRPr="000F3AA1">
        <w:rPr>
          <w:rFonts w:cs="Arial"/>
          <w:color w:val="000000"/>
          <w:sz w:val="24"/>
          <w:szCs w:val="24"/>
        </w:rPr>
        <w:t>In the present investigation, we re-examined the contribution</w:t>
      </w:r>
      <w:r w:rsidR="00556C38" w:rsidRPr="000F3AA1">
        <w:rPr>
          <w:rFonts w:cs="Arial"/>
          <w:color w:val="000000"/>
          <w:sz w:val="24"/>
          <w:szCs w:val="24"/>
        </w:rPr>
        <w:t xml:space="preserve"> </w:t>
      </w:r>
      <w:r w:rsidR="007F255C" w:rsidRPr="000F3AA1">
        <w:rPr>
          <w:rFonts w:cs="Arial"/>
          <w:color w:val="000000"/>
          <w:sz w:val="24"/>
          <w:szCs w:val="24"/>
        </w:rPr>
        <w:t>of CYP3A-mediated elimination to gilteritinib exposure and characterize</w:t>
      </w:r>
      <w:r w:rsidR="002362AE" w:rsidRPr="000F3AA1">
        <w:rPr>
          <w:rFonts w:cs="Arial"/>
          <w:color w:val="000000"/>
          <w:sz w:val="24"/>
          <w:szCs w:val="24"/>
        </w:rPr>
        <w:t>d</w:t>
      </w:r>
      <w:r w:rsidR="007F255C" w:rsidRPr="000F3AA1">
        <w:rPr>
          <w:rFonts w:cs="Arial"/>
          <w:color w:val="000000"/>
          <w:sz w:val="24"/>
          <w:szCs w:val="24"/>
        </w:rPr>
        <w:t xml:space="preserve"> the transporter-mediated drug-drug interaction potential with gilteritinib.</w:t>
      </w:r>
      <w:r w:rsidR="007C2D80" w:rsidRPr="000F3AA1">
        <w:rPr>
          <w:rFonts w:cs="Arial"/>
          <w:color w:val="000000"/>
          <w:sz w:val="24"/>
          <w:szCs w:val="24"/>
        </w:rPr>
        <w:t xml:space="preserve"> </w:t>
      </w:r>
    </w:p>
    <w:p w14:paraId="477009E3" w14:textId="77777777" w:rsidR="007C2D80" w:rsidRPr="000F3AA1" w:rsidRDefault="007C2D80" w:rsidP="0039360B">
      <w:pPr>
        <w:widowControl w:val="0"/>
        <w:spacing w:after="0" w:line="240" w:lineRule="auto"/>
        <w:contextualSpacing/>
        <w:jc w:val="both"/>
        <w:rPr>
          <w:rFonts w:cs="Arial"/>
          <w:b/>
          <w:sz w:val="24"/>
          <w:szCs w:val="24"/>
        </w:rPr>
      </w:pPr>
      <w:r w:rsidRPr="000F3AA1">
        <w:rPr>
          <w:rFonts w:cs="Arial"/>
          <w:b/>
          <w:sz w:val="24"/>
          <w:szCs w:val="24"/>
        </w:rPr>
        <w:t xml:space="preserve">Methods: </w:t>
      </w:r>
    </w:p>
    <w:p w14:paraId="3038257A" w14:textId="71467FA2" w:rsidR="007C2D80" w:rsidRPr="000F3AA1" w:rsidRDefault="008C1A89" w:rsidP="0039360B">
      <w:pPr>
        <w:widowControl w:val="0"/>
        <w:spacing w:after="0" w:line="240" w:lineRule="auto"/>
        <w:contextualSpacing/>
        <w:jc w:val="both"/>
        <w:rPr>
          <w:rFonts w:cs="Arial"/>
          <w:sz w:val="24"/>
          <w:szCs w:val="24"/>
        </w:rPr>
      </w:pPr>
      <w:r w:rsidRPr="000F3AA1">
        <w:rPr>
          <w:rFonts w:cs="Arial"/>
          <w:sz w:val="24"/>
          <w:szCs w:val="24"/>
        </w:rPr>
        <w:t xml:space="preserve">Gilteritinib transport was studied </w:t>
      </w:r>
      <w:r w:rsidRPr="000F3AA1">
        <w:rPr>
          <w:rFonts w:cs="Arial"/>
          <w:i/>
          <w:sz w:val="24"/>
          <w:szCs w:val="24"/>
        </w:rPr>
        <w:t>in vitro</w:t>
      </w:r>
      <w:r w:rsidRPr="000F3AA1">
        <w:rPr>
          <w:rFonts w:cs="Arial"/>
          <w:sz w:val="24"/>
          <w:szCs w:val="24"/>
        </w:rPr>
        <w:t xml:space="preserve"> using HEK293 cells stably transfected with </w:t>
      </w:r>
      <w:r w:rsidR="007F255C" w:rsidRPr="000F3AA1">
        <w:rPr>
          <w:rFonts w:cs="Arial"/>
          <w:sz w:val="24"/>
          <w:szCs w:val="24"/>
        </w:rPr>
        <w:t xml:space="preserve">human </w:t>
      </w:r>
      <w:r w:rsidRPr="000F3AA1">
        <w:rPr>
          <w:rFonts w:cs="Arial"/>
          <w:sz w:val="24"/>
          <w:szCs w:val="24"/>
        </w:rPr>
        <w:t>OATP1B1</w:t>
      </w:r>
      <w:r w:rsidR="007F255C" w:rsidRPr="000F3AA1">
        <w:rPr>
          <w:rFonts w:cs="Arial"/>
          <w:sz w:val="24"/>
          <w:szCs w:val="24"/>
        </w:rPr>
        <w:t>,</w:t>
      </w:r>
      <w:r w:rsidR="00CC46FF" w:rsidRPr="000F3AA1">
        <w:rPr>
          <w:rFonts w:cs="Arial"/>
          <w:sz w:val="24"/>
          <w:szCs w:val="24"/>
        </w:rPr>
        <w:t xml:space="preserve"> its murine orthologue OATP1B2, as well as</w:t>
      </w:r>
      <w:r w:rsidR="007F255C" w:rsidRPr="000F3AA1">
        <w:rPr>
          <w:rFonts w:cs="Arial"/>
          <w:sz w:val="24"/>
          <w:szCs w:val="24"/>
        </w:rPr>
        <w:t xml:space="preserve"> </w:t>
      </w:r>
      <w:r w:rsidR="00CC46FF" w:rsidRPr="000F3AA1">
        <w:rPr>
          <w:rFonts w:cs="Arial"/>
          <w:sz w:val="24"/>
          <w:szCs w:val="24"/>
        </w:rPr>
        <w:t xml:space="preserve">the </w:t>
      </w:r>
      <w:r w:rsidR="007F255C" w:rsidRPr="000F3AA1">
        <w:rPr>
          <w:rFonts w:cs="Arial"/>
          <w:sz w:val="24"/>
          <w:szCs w:val="24"/>
        </w:rPr>
        <w:t xml:space="preserve">OCT1, OCT2, </w:t>
      </w:r>
      <w:r w:rsidR="00CC46FF" w:rsidRPr="000F3AA1">
        <w:rPr>
          <w:rFonts w:cs="Arial"/>
          <w:sz w:val="24"/>
          <w:szCs w:val="24"/>
        </w:rPr>
        <w:t xml:space="preserve">and </w:t>
      </w:r>
      <w:r w:rsidR="007F255C" w:rsidRPr="000F3AA1">
        <w:rPr>
          <w:rFonts w:cs="Arial"/>
          <w:sz w:val="24"/>
          <w:szCs w:val="24"/>
        </w:rPr>
        <w:t xml:space="preserve">MATE1 </w:t>
      </w:r>
      <w:r w:rsidR="00CC46FF" w:rsidRPr="000F3AA1">
        <w:rPr>
          <w:rFonts w:cs="Arial"/>
          <w:sz w:val="24"/>
          <w:szCs w:val="24"/>
        </w:rPr>
        <w:t>transporters</w:t>
      </w:r>
      <w:r w:rsidR="0039360B" w:rsidRPr="000F3AA1">
        <w:rPr>
          <w:rFonts w:cs="Arial"/>
          <w:sz w:val="24"/>
          <w:szCs w:val="24"/>
        </w:rPr>
        <w:t>. Uptake studies were performed</w:t>
      </w:r>
      <w:r w:rsidR="007F255C" w:rsidRPr="000F3AA1">
        <w:rPr>
          <w:rFonts w:cs="Arial"/>
          <w:sz w:val="24"/>
          <w:szCs w:val="24"/>
        </w:rPr>
        <w:t xml:space="preserve"> </w:t>
      </w:r>
      <w:r w:rsidR="0039360B" w:rsidRPr="000F3AA1">
        <w:rPr>
          <w:rFonts w:cs="Arial"/>
          <w:sz w:val="24"/>
          <w:szCs w:val="24"/>
        </w:rPr>
        <w:t xml:space="preserve">to evaluate the effects of gilteritinib on substrate- and concentration-dependent uptake of </w:t>
      </w:r>
      <w:r w:rsidR="00CC46FF" w:rsidRPr="000F3AA1">
        <w:rPr>
          <w:rFonts w:cs="Arial"/>
          <w:sz w:val="24"/>
          <w:szCs w:val="24"/>
        </w:rPr>
        <w:t xml:space="preserve">the </w:t>
      </w:r>
      <w:r w:rsidR="0039360B" w:rsidRPr="000F3AA1">
        <w:rPr>
          <w:rFonts w:cs="Arial"/>
          <w:sz w:val="24"/>
          <w:szCs w:val="24"/>
        </w:rPr>
        <w:t xml:space="preserve">prototypical </w:t>
      </w:r>
      <w:r w:rsidR="007F255C" w:rsidRPr="000F3AA1">
        <w:rPr>
          <w:rFonts w:cs="Arial"/>
          <w:sz w:val="24"/>
          <w:szCs w:val="24"/>
        </w:rPr>
        <w:t xml:space="preserve">radiolabeled substrates </w:t>
      </w:r>
      <w:r w:rsidR="0039360B" w:rsidRPr="000F3AA1">
        <w:rPr>
          <w:rFonts w:cs="Arial"/>
          <w:sz w:val="24"/>
          <w:szCs w:val="24"/>
        </w:rPr>
        <w:t xml:space="preserve">estradiol-17β-d-glucuronide, tetraethylammonium (TEA), and metformin, followed by </w:t>
      </w:r>
      <w:r w:rsidR="007F255C" w:rsidRPr="000F3AA1">
        <w:rPr>
          <w:rFonts w:cs="Arial"/>
          <w:sz w:val="24"/>
          <w:szCs w:val="24"/>
        </w:rPr>
        <w:t>liquid scintillation counting</w:t>
      </w:r>
      <w:r w:rsidRPr="000F3AA1">
        <w:rPr>
          <w:rFonts w:cs="Arial"/>
          <w:sz w:val="24"/>
          <w:szCs w:val="24"/>
        </w:rPr>
        <w:t xml:space="preserve">. Pharmacokinetic studies were performed with </w:t>
      </w:r>
      <w:r w:rsidR="002362AE" w:rsidRPr="000F3AA1">
        <w:rPr>
          <w:rFonts w:cs="Arial"/>
          <w:sz w:val="24"/>
          <w:szCs w:val="24"/>
        </w:rPr>
        <w:t xml:space="preserve">a </w:t>
      </w:r>
      <w:r w:rsidRPr="000F3AA1">
        <w:rPr>
          <w:rFonts w:cs="Arial"/>
          <w:sz w:val="24"/>
          <w:szCs w:val="24"/>
        </w:rPr>
        <w:t xml:space="preserve">single oral dose </w:t>
      </w:r>
      <w:r w:rsidR="0039360B" w:rsidRPr="000F3AA1">
        <w:rPr>
          <w:rFonts w:cs="Arial"/>
          <w:sz w:val="24"/>
          <w:szCs w:val="24"/>
        </w:rPr>
        <w:t>of gilteritinib</w:t>
      </w:r>
      <w:r w:rsidRPr="000F3AA1">
        <w:rPr>
          <w:rFonts w:cs="Arial"/>
          <w:sz w:val="24"/>
          <w:szCs w:val="24"/>
        </w:rPr>
        <w:t xml:space="preserve"> (10 mg/kg</w:t>
      </w:r>
      <w:r w:rsidR="007E7CE8" w:rsidRPr="000F3AA1">
        <w:rPr>
          <w:rFonts w:cs="Arial"/>
          <w:sz w:val="24"/>
          <w:szCs w:val="24"/>
        </w:rPr>
        <w:t>; n=5 per group</w:t>
      </w:r>
      <w:r w:rsidRPr="000F3AA1">
        <w:rPr>
          <w:rFonts w:cs="Arial"/>
          <w:sz w:val="24"/>
          <w:szCs w:val="24"/>
        </w:rPr>
        <w:t>) in adult wild</w:t>
      </w:r>
      <w:r w:rsidR="00CC46FF" w:rsidRPr="000F3AA1">
        <w:rPr>
          <w:rFonts w:cs="Arial"/>
          <w:sz w:val="24"/>
          <w:szCs w:val="24"/>
        </w:rPr>
        <w:t>-</w:t>
      </w:r>
      <w:r w:rsidRPr="000F3AA1">
        <w:rPr>
          <w:rFonts w:cs="Arial"/>
          <w:sz w:val="24"/>
          <w:szCs w:val="24"/>
        </w:rPr>
        <w:t xml:space="preserve">type mice and </w:t>
      </w:r>
      <w:r w:rsidR="0039360B" w:rsidRPr="000F3AA1">
        <w:rPr>
          <w:rFonts w:cs="Arial"/>
          <w:sz w:val="24"/>
          <w:szCs w:val="24"/>
        </w:rPr>
        <w:t xml:space="preserve">sex- and </w:t>
      </w:r>
      <w:r w:rsidRPr="000F3AA1">
        <w:rPr>
          <w:rFonts w:cs="Arial"/>
          <w:sz w:val="24"/>
          <w:szCs w:val="24"/>
        </w:rPr>
        <w:t xml:space="preserve">age-matched </w:t>
      </w:r>
      <w:r w:rsidR="0039360B" w:rsidRPr="000F3AA1">
        <w:rPr>
          <w:rFonts w:cs="Arial"/>
          <w:sz w:val="24"/>
          <w:szCs w:val="24"/>
        </w:rPr>
        <w:t xml:space="preserve">mice that are </w:t>
      </w:r>
      <w:r w:rsidR="006A5414" w:rsidRPr="000F3AA1">
        <w:rPr>
          <w:rFonts w:cs="Arial"/>
          <w:sz w:val="24"/>
          <w:szCs w:val="24"/>
        </w:rPr>
        <w:t>CYP3A-deficient,</w:t>
      </w:r>
      <w:r w:rsidR="0039360B" w:rsidRPr="000F3AA1">
        <w:rPr>
          <w:rFonts w:cs="Arial"/>
          <w:sz w:val="24"/>
          <w:szCs w:val="24"/>
        </w:rPr>
        <w:t xml:space="preserve"> OATP1B2-deficient</w:t>
      </w:r>
      <w:r w:rsidR="006A5414" w:rsidRPr="000F3AA1">
        <w:rPr>
          <w:rFonts w:cs="Arial"/>
          <w:sz w:val="24"/>
          <w:szCs w:val="24"/>
        </w:rPr>
        <w:t>, OCT1/2-deficient</w:t>
      </w:r>
      <w:r w:rsidR="0039360B" w:rsidRPr="000F3AA1">
        <w:rPr>
          <w:rFonts w:cs="Arial"/>
          <w:sz w:val="24"/>
          <w:szCs w:val="24"/>
        </w:rPr>
        <w:t>,</w:t>
      </w:r>
      <w:r w:rsidR="006A5414" w:rsidRPr="000F3AA1">
        <w:rPr>
          <w:rFonts w:cs="Arial"/>
          <w:sz w:val="24"/>
          <w:szCs w:val="24"/>
        </w:rPr>
        <w:t xml:space="preserve"> or MATE1-deficient</w:t>
      </w:r>
      <w:r w:rsidRPr="000F3AA1">
        <w:rPr>
          <w:rFonts w:cs="Arial"/>
          <w:sz w:val="24"/>
          <w:szCs w:val="24"/>
        </w:rPr>
        <w:t xml:space="preserve"> via repeat blood sampling (6 samples over 8 hours). </w:t>
      </w:r>
      <w:r w:rsidR="0039360B" w:rsidRPr="000F3AA1">
        <w:rPr>
          <w:rFonts w:cs="Arial"/>
          <w:sz w:val="24"/>
          <w:szCs w:val="24"/>
        </w:rPr>
        <w:t>C</w:t>
      </w:r>
      <w:r w:rsidRPr="000F3AA1">
        <w:rPr>
          <w:rFonts w:cs="Arial"/>
          <w:sz w:val="24"/>
          <w:szCs w:val="24"/>
        </w:rPr>
        <w:t xml:space="preserve">oncentrations </w:t>
      </w:r>
      <w:r w:rsidR="0039360B" w:rsidRPr="000F3AA1">
        <w:rPr>
          <w:rFonts w:cs="Arial"/>
          <w:sz w:val="24"/>
          <w:szCs w:val="24"/>
        </w:rPr>
        <w:t xml:space="preserve">of gilteritinib </w:t>
      </w:r>
      <w:r w:rsidRPr="000F3AA1">
        <w:rPr>
          <w:rFonts w:cs="Arial"/>
          <w:sz w:val="24"/>
          <w:szCs w:val="24"/>
        </w:rPr>
        <w:t xml:space="preserve">were </w:t>
      </w:r>
      <w:r w:rsidR="0039360B" w:rsidRPr="000F3AA1">
        <w:rPr>
          <w:rFonts w:cs="Arial"/>
          <w:sz w:val="24"/>
          <w:szCs w:val="24"/>
        </w:rPr>
        <w:t xml:space="preserve">determined using a validated LC-MS/MS method, and pharmacokinetic parameters were calculated by non-compartmental analysis </w:t>
      </w:r>
      <w:r w:rsidR="00624183" w:rsidRPr="000F3AA1">
        <w:rPr>
          <w:rFonts w:cs="Arial"/>
          <w:sz w:val="24"/>
          <w:szCs w:val="24"/>
        </w:rPr>
        <w:t xml:space="preserve">using </w:t>
      </w:r>
      <w:r w:rsidR="0039360B" w:rsidRPr="000F3AA1">
        <w:rPr>
          <w:rFonts w:cs="Arial"/>
          <w:sz w:val="24"/>
          <w:szCs w:val="24"/>
        </w:rPr>
        <w:t>Phoenix WinNonlin v8.0.</w:t>
      </w:r>
    </w:p>
    <w:p w14:paraId="75029541" w14:textId="77777777" w:rsidR="007C2D80" w:rsidRPr="000F3AA1" w:rsidRDefault="007C2D80" w:rsidP="0039360B">
      <w:pPr>
        <w:widowControl w:val="0"/>
        <w:spacing w:after="0" w:line="240" w:lineRule="auto"/>
        <w:contextualSpacing/>
        <w:jc w:val="both"/>
        <w:rPr>
          <w:rFonts w:cs="Arial"/>
          <w:b/>
          <w:sz w:val="24"/>
          <w:szCs w:val="24"/>
        </w:rPr>
      </w:pPr>
      <w:r w:rsidRPr="000F3AA1">
        <w:rPr>
          <w:rFonts w:cs="Arial"/>
          <w:b/>
          <w:sz w:val="24"/>
          <w:szCs w:val="24"/>
        </w:rPr>
        <w:t>Results:</w:t>
      </w:r>
    </w:p>
    <w:p w14:paraId="06620996" w14:textId="7547CC81" w:rsidR="007873F6" w:rsidRPr="000F3AA1" w:rsidRDefault="0039360B" w:rsidP="0039360B">
      <w:pPr>
        <w:spacing w:line="240" w:lineRule="auto"/>
        <w:contextualSpacing/>
        <w:jc w:val="both"/>
        <w:rPr>
          <w:rFonts w:cs="Arial"/>
          <w:color w:val="000000"/>
          <w:sz w:val="24"/>
          <w:szCs w:val="24"/>
        </w:rPr>
      </w:pPr>
      <w:r w:rsidRPr="000F3AA1">
        <w:rPr>
          <w:rFonts w:cs="Arial"/>
          <w:color w:val="000000"/>
          <w:sz w:val="24"/>
          <w:szCs w:val="24"/>
        </w:rPr>
        <w:t xml:space="preserve">Compared to wild-type mice, the systemic exposure to gilteritinib was not significantly altered in CYP3A-deficient mice (1423 ± 142 vs 1468 ± 147 ng.h/mL), suggesting that the clearance of gilteritinib in mice is largely independent of CYP3A function. </w:t>
      </w:r>
      <w:r w:rsidRPr="000F3AA1">
        <w:rPr>
          <w:rFonts w:cs="Arial"/>
          <w:i/>
          <w:color w:val="000000"/>
          <w:sz w:val="24"/>
          <w:szCs w:val="24"/>
        </w:rPr>
        <w:t>In vitro</w:t>
      </w:r>
      <w:r w:rsidRPr="000F3AA1">
        <w:rPr>
          <w:rFonts w:cs="Arial"/>
          <w:color w:val="000000"/>
          <w:sz w:val="24"/>
          <w:szCs w:val="24"/>
        </w:rPr>
        <w:t xml:space="preserve"> studies demonstrated that gilteritinib is an inhibitor of </w:t>
      </w:r>
      <w:r w:rsidR="00CC46FF" w:rsidRPr="000F3AA1">
        <w:rPr>
          <w:rFonts w:cs="Arial"/>
          <w:color w:val="000000"/>
          <w:sz w:val="24"/>
          <w:szCs w:val="24"/>
        </w:rPr>
        <w:t xml:space="preserve">the hepatic uptake transporter </w:t>
      </w:r>
      <w:r w:rsidRPr="000F3AA1">
        <w:rPr>
          <w:rFonts w:cs="Arial"/>
          <w:color w:val="000000"/>
          <w:sz w:val="24"/>
          <w:szCs w:val="24"/>
        </w:rPr>
        <w:t>OATP1B1 (IC</w:t>
      </w:r>
      <w:r w:rsidRPr="000F3AA1">
        <w:rPr>
          <w:rFonts w:cs="Arial"/>
          <w:color w:val="000000"/>
          <w:sz w:val="24"/>
          <w:szCs w:val="24"/>
          <w:vertAlign w:val="subscript"/>
        </w:rPr>
        <w:t>50</w:t>
      </w:r>
      <w:r w:rsidRPr="000F3AA1">
        <w:rPr>
          <w:rFonts w:cs="Arial"/>
          <w:color w:val="000000"/>
          <w:sz w:val="24"/>
          <w:szCs w:val="24"/>
        </w:rPr>
        <w:t xml:space="preserve">, 2.23 µM), </w:t>
      </w:r>
      <w:r w:rsidR="00F62450" w:rsidRPr="000F3AA1">
        <w:rPr>
          <w:rFonts w:cs="Arial"/>
          <w:color w:val="000000"/>
          <w:sz w:val="24"/>
          <w:szCs w:val="24"/>
        </w:rPr>
        <w:t xml:space="preserve">and the interaction of </w:t>
      </w:r>
      <w:r w:rsidR="00CC46FF" w:rsidRPr="000F3AA1">
        <w:rPr>
          <w:rFonts w:cs="Arial"/>
          <w:color w:val="000000"/>
          <w:sz w:val="24"/>
          <w:szCs w:val="24"/>
        </w:rPr>
        <w:t xml:space="preserve">gilteritinib </w:t>
      </w:r>
      <w:r w:rsidR="00F62450" w:rsidRPr="000F3AA1">
        <w:rPr>
          <w:rFonts w:cs="Arial"/>
          <w:color w:val="000000"/>
          <w:sz w:val="24"/>
          <w:szCs w:val="24"/>
        </w:rPr>
        <w:t>with this transporter</w:t>
      </w:r>
      <w:r w:rsidR="00CC46FF" w:rsidRPr="000F3AA1">
        <w:rPr>
          <w:rFonts w:cs="Arial"/>
          <w:color w:val="000000"/>
          <w:sz w:val="24"/>
          <w:szCs w:val="24"/>
        </w:rPr>
        <w:t xml:space="preserve"> was verified by the demonstration that the peak concentration</w:t>
      </w:r>
      <w:r w:rsidR="00556C38" w:rsidRPr="000F3AA1">
        <w:rPr>
          <w:rFonts w:cs="Arial"/>
          <w:color w:val="000000"/>
          <w:sz w:val="24"/>
          <w:szCs w:val="24"/>
        </w:rPr>
        <w:t xml:space="preserve"> (C</w:t>
      </w:r>
      <w:r w:rsidR="00556C38" w:rsidRPr="000F3AA1">
        <w:rPr>
          <w:rFonts w:cs="Arial"/>
          <w:color w:val="000000"/>
          <w:sz w:val="24"/>
          <w:szCs w:val="24"/>
          <w:vertAlign w:val="subscript"/>
        </w:rPr>
        <w:t>max</w:t>
      </w:r>
      <w:r w:rsidR="00556C38" w:rsidRPr="000F3AA1">
        <w:rPr>
          <w:rFonts w:cs="Arial"/>
          <w:color w:val="000000"/>
          <w:sz w:val="24"/>
          <w:szCs w:val="24"/>
        </w:rPr>
        <w:t>)</w:t>
      </w:r>
      <w:r w:rsidR="00CC46FF" w:rsidRPr="000F3AA1">
        <w:rPr>
          <w:rFonts w:cs="Arial"/>
          <w:color w:val="000000"/>
          <w:sz w:val="24"/>
          <w:szCs w:val="24"/>
        </w:rPr>
        <w:t xml:space="preserve"> and area under the curve</w:t>
      </w:r>
      <w:r w:rsidR="00556C38" w:rsidRPr="000F3AA1">
        <w:rPr>
          <w:rFonts w:cs="Arial"/>
          <w:color w:val="000000"/>
          <w:sz w:val="24"/>
          <w:szCs w:val="24"/>
        </w:rPr>
        <w:t xml:space="preserve"> (AUC)</w:t>
      </w:r>
      <w:r w:rsidR="00CC46FF" w:rsidRPr="000F3AA1">
        <w:rPr>
          <w:rFonts w:cs="Arial"/>
          <w:color w:val="000000"/>
          <w:sz w:val="24"/>
          <w:szCs w:val="24"/>
        </w:rPr>
        <w:t xml:space="preserve"> </w:t>
      </w:r>
      <w:r w:rsidR="00F62450" w:rsidRPr="000F3AA1">
        <w:rPr>
          <w:rFonts w:cs="Arial"/>
          <w:color w:val="000000"/>
          <w:sz w:val="24"/>
          <w:szCs w:val="24"/>
        </w:rPr>
        <w:t xml:space="preserve">of gilteritinib </w:t>
      </w:r>
      <w:r w:rsidR="00CC46FF" w:rsidRPr="000F3AA1">
        <w:rPr>
          <w:rFonts w:cs="Arial"/>
          <w:color w:val="000000"/>
          <w:sz w:val="24"/>
          <w:szCs w:val="24"/>
        </w:rPr>
        <w:t xml:space="preserve">were </w:t>
      </w:r>
      <w:r w:rsidR="00F62450" w:rsidRPr="000F3AA1">
        <w:rPr>
          <w:rFonts w:cs="Arial"/>
          <w:color w:val="000000"/>
          <w:sz w:val="24"/>
          <w:szCs w:val="24"/>
        </w:rPr>
        <w:t xml:space="preserve">significantly </w:t>
      </w:r>
      <w:r w:rsidR="00CC46FF" w:rsidRPr="000F3AA1">
        <w:rPr>
          <w:rFonts w:cs="Arial"/>
          <w:color w:val="000000"/>
          <w:sz w:val="24"/>
          <w:szCs w:val="24"/>
        </w:rPr>
        <w:t xml:space="preserve">increased </w:t>
      </w:r>
      <w:r w:rsidR="00F62450" w:rsidRPr="000F3AA1">
        <w:rPr>
          <w:rFonts w:cs="Arial"/>
          <w:color w:val="000000"/>
          <w:sz w:val="24"/>
          <w:szCs w:val="24"/>
        </w:rPr>
        <w:t>(~</w:t>
      </w:r>
      <w:r w:rsidR="00CC449F" w:rsidRPr="000F3AA1">
        <w:rPr>
          <w:rFonts w:cs="Arial"/>
          <w:color w:val="000000"/>
          <w:sz w:val="24"/>
          <w:szCs w:val="24"/>
        </w:rPr>
        <w:t>1.4</w:t>
      </w:r>
      <w:r w:rsidR="00CC46FF" w:rsidRPr="000F3AA1">
        <w:rPr>
          <w:rFonts w:cs="Arial"/>
          <w:color w:val="000000"/>
          <w:sz w:val="24"/>
          <w:szCs w:val="24"/>
        </w:rPr>
        <w:t>-</w:t>
      </w:r>
      <w:r w:rsidR="00F62450" w:rsidRPr="000F3AA1">
        <w:rPr>
          <w:rFonts w:cs="Arial"/>
          <w:color w:val="000000"/>
          <w:sz w:val="24"/>
          <w:szCs w:val="24"/>
        </w:rPr>
        <w:t>fold)</w:t>
      </w:r>
      <w:r w:rsidR="00CC46FF" w:rsidRPr="000F3AA1">
        <w:rPr>
          <w:rFonts w:cs="Arial"/>
          <w:color w:val="000000"/>
          <w:sz w:val="24"/>
          <w:szCs w:val="24"/>
        </w:rPr>
        <w:t>, in OATP1B2-deficient mice compared with wild-type mice</w:t>
      </w:r>
      <w:r w:rsidRPr="000F3AA1">
        <w:rPr>
          <w:rFonts w:cs="Arial"/>
          <w:color w:val="000000"/>
          <w:sz w:val="24"/>
          <w:szCs w:val="24"/>
        </w:rPr>
        <w:t xml:space="preserve">. In addition, we found that gilteritinib is a potent inhibitor of </w:t>
      </w:r>
      <w:r w:rsidR="00CC46FF" w:rsidRPr="000F3AA1">
        <w:rPr>
          <w:rFonts w:cs="Arial"/>
          <w:color w:val="000000"/>
          <w:sz w:val="24"/>
          <w:szCs w:val="24"/>
        </w:rPr>
        <w:t xml:space="preserve">the hepatic transporter </w:t>
      </w:r>
      <w:r w:rsidRPr="000F3AA1">
        <w:rPr>
          <w:rFonts w:cs="Arial"/>
          <w:color w:val="000000"/>
          <w:sz w:val="24"/>
          <w:szCs w:val="24"/>
        </w:rPr>
        <w:t>OCT1 (IC</w:t>
      </w:r>
      <w:r w:rsidRPr="000F3AA1">
        <w:rPr>
          <w:rFonts w:cs="Arial"/>
          <w:color w:val="000000"/>
          <w:sz w:val="24"/>
          <w:szCs w:val="24"/>
          <w:vertAlign w:val="subscript"/>
        </w:rPr>
        <w:t>50</w:t>
      </w:r>
      <w:r w:rsidRPr="000F3AA1">
        <w:rPr>
          <w:rFonts w:cs="Arial"/>
          <w:color w:val="000000"/>
          <w:sz w:val="24"/>
          <w:szCs w:val="24"/>
        </w:rPr>
        <w:t>, 300 nM)</w:t>
      </w:r>
      <w:r w:rsidR="00CC46FF" w:rsidRPr="000F3AA1">
        <w:rPr>
          <w:rFonts w:cs="Arial"/>
          <w:color w:val="000000"/>
          <w:sz w:val="24"/>
          <w:szCs w:val="24"/>
        </w:rPr>
        <w:t xml:space="preserve"> as well as</w:t>
      </w:r>
      <w:r w:rsidRPr="000F3AA1">
        <w:rPr>
          <w:rFonts w:cs="Arial"/>
          <w:color w:val="000000"/>
          <w:sz w:val="24"/>
          <w:szCs w:val="24"/>
        </w:rPr>
        <w:t xml:space="preserve"> OCT2 (IC</w:t>
      </w:r>
      <w:r w:rsidRPr="000F3AA1">
        <w:rPr>
          <w:rFonts w:cs="Arial"/>
          <w:color w:val="000000"/>
          <w:sz w:val="24"/>
          <w:szCs w:val="24"/>
          <w:vertAlign w:val="subscript"/>
        </w:rPr>
        <w:t>50</w:t>
      </w:r>
      <w:r w:rsidR="00CC46FF" w:rsidRPr="000F3AA1">
        <w:rPr>
          <w:rFonts w:cs="Arial"/>
          <w:color w:val="000000"/>
          <w:sz w:val="24"/>
          <w:szCs w:val="24"/>
        </w:rPr>
        <w:t>, 150 nM)</w:t>
      </w:r>
      <w:r w:rsidRPr="000F3AA1">
        <w:rPr>
          <w:rFonts w:cs="Arial"/>
          <w:color w:val="000000"/>
          <w:sz w:val="24"/>
          <w:szCs w:val="24"/>
        </w:rPr>
        <w:t xml:space="preserve"> and MATE1 (IC</w:t>
      </w:r>
      <w:r w:rsidRPr="000F3AA1">
        <w:rPr>
          <w:rFonts w:cs="Arial"/>
          <w:color w:val="000000"/>
          <w:sz w:val="24"/>
          <w:szCs w:val="24"/>
          <w:vertAlign w:val="subscript"/>
        </w:rPr>
        <w:t>50</w:t>
      </w:r>
      <w:r w:rsidRPr="000F3AA1">
        <w:rPr>
          <w:rFonts w:cs="Arial"/>
          <w:color w:val="000000"/>
          <w:sz w:val="24"/>
          <w:szCs w:val="24"/>
        </w:rPr>
        <w:t xml:space="preserve">, 5 nM), transporters involved in the renal </w:t>
      </w:r>
      <w:r w:rsidR="00CC46FF" w:rsidRPr="000F3AA1">
        <w:rPr>
          <w:rFonts w:cs="Arial"/>
          <w:color w:val="000000"/>
          <w:sz w:val="24"/>
          <w:szCs w:val="24"/>
        </w:rPr>
        <w:t>tubular excretion</w:t>
      </w:r>
      <w:r w:rsidRPr="000F3AA1">
        <w:rPr>
          <w:rFonts w:cs="Arial"/>
          <w:color w:val="000000"/>
          <w:sz w:val="24"/>
          <w:szCs w:val="24"/>
        </w:rPr>
        <w:t xml:space="preserve"> of cationic drugs. </w:t>
      </w:r>
      <w:r w:rsidR="00F62450" w:rsidRPr="000F3AA1">
        <w:rPr>
          <w:rFonts w:cs="Arial"/>
          <w:color w:val="000000"/>
          <w:sz w:val="24"/>
          <w:szCs w:val="24"/>
        </w:rPr>
        <w:t>In line with this observation, we found that OCT1/2-deficiency and MATE1-deficiency was associated with altered</w:t>
      </w:r>
      <w:r w:rsidR="005225DC" w:rsidRPr="000F3AA1">
        <w:rPr>
          <w:rFonts w:cs="Arial"/>
          <w:color w:val="000000"/>
          <w:sz w:val="24"/>
          <w:szCs w:val="24"/>
        </w:rPr>
        <w:t xml:space="preserve"> </w:t>
      </w:r>
      <w:r w:rsidR="00F62450" w:rsidRPr="000F3AA1">
        <w:rPr>
          <w:rFonts w:cs="Arial"/>
          <w:color w:val="000000"/>
          <w:sz w:val="24"/>
          <w:szCs w:val="24"/>
        </w:rPr>
        <w:t>systemic exposure to gilteritinib</w:t>
      </w:r>
      <w:r w:rsidR="005225DC" w:rsidRPr="000F3AA1">
        <w:rPr>
          <w:rFonts w:cs="Arial"/>
          <w:color w:val="000000"/>
          <w:sz w:val="24"/>
          <w:szCs w:val="24"/>
        </w:rPr>
        <w:t xml:space="preserve"> </w:t>
      </w:r>
      <w:r w:rsidR="00F62450" w:rsidRPr="000F3AA1">
        <w:rPr>
          <w:rFonts w:cs="Arial"/>
          <w:color w:val="000000"/>
          <w:sz w:val="24"/>
          <w:szCs w:val="24"/>
        </w:rPr>
        <w:t>(1.1-to 1.5-fold)</w:t>
      </w:r>
      <w:r w:rsidR="005225DC" w:rsidRPr="000F3AA1">
        <w:rPr>
          <w:rFonts w:cs="Arial"/>
          <w:color w:val="000000"/>
          <w:sz w:val="24"/>
          <w:szCs w:val="24"/>
        </w:rPr>
        <w:t xml:space="preserve">. </w:t>
      </w:r>
      <w:r w:rsidR="00481177" w:rsidRPr="000F3AA1">
        <w:rPr>
          <w:rFonts w:cs="Arial"/>
          <w:color w:val="000000"/>
          <w:sz w:val="24"/>
          <w:szCs w:val="24"/>
        </w:rPr>
        <w:t xml:space="preserve"> </w:t>
      </w:r>
    </w:p>
    <w:p w14:paraId="43C9F227" w14:textId="77777777" w:rsidR="007C2D80" w:rsidRPr="000F3AA1" w:rsidRDefault="007C2D80" w:rsidP="0039360B">
      <w:pPr>
        <w:widowControl w:val="0"/>
        <w:spacing w:after="0" w:line="240" w:lineRule="auto"/>
        <w:contextualSpacing/>
        <w:jc w:val="both"/>
        <w:rPr>
          <w:rFonts w:cs="Arial"/>
          <w:b/>
          <w:sz w:val="24"/>
          <w:szCs w:val="24"/>
        </w:rPr>
      </w:pPr>
      <w:r w:rsidRPr="000F3AA1">
        <w:rPr>
          <w:rFonts w:cs="Arial"/>
          <w:b/>
          <w:sz w:val="24"/>
          <w:szCs w:val="24"/>
        </w:rPr>
        <w:t>Conclusions:</w:t>
      </w:r>
    </w:p>
    <w:p w14:paraId="3B11BAA7" w14:textId="7C6932F1" w:rsidR="007C2D80" w:rsidRPr="000F3AA1" w:rsidRDefault="00674AEC" w:rsidP="0039360B">
      <w:pPr>
        <w:widowControl w:val="0"/>
        <w:spacing w:after="0" w:line="240" w:lineRule="auto"/>
        <w:contextualSpacing/>
        <w:jc w:val="both"/>
        <w:rPr>
          <w:rFonts w:cs="Arial"/>
          <w:color w:val="000000"/>
          <w:sz w:val="20"/>
          <w:szCs w:val="20"/>
        </w:rPr>
      </w:pPr>
      <w:r w:rsidRPr="000F3AA1">
        <w:rPr>
          <w:rFonts w:cs="Arial"/>
          <w:color w:val="000000"/>
          <w:sz w:val="24"/>
          <w:szCs w:val="24"/>
        </w:rPr>
        <w:t>This study suggests that CYP3A-deficiency</w:t>
      </w:r>
      <w:r w:rsidR="00F62450" w:rsidRPr="000F3AA1">
        <w:rPr>
          <w:rFonts w:cs="Arial"/>
          <w:color w:val="000000"/>
          <w:sz w:val="24"/>
          <w:szCs w:val="24"/>
        </w:rPr>
        <w:t xml:space="preserve"> in mice</w:t>
      </w:r>
      <w:r w:rsidRPr="000F3AA1">
        <w:rPr>
          <w:rFonts w:cs="Arial"/>
          <w:color w:val="000000"/>
          <w:sz w:val="24"/>
          <w:szCs w:val="24"/>
        </w:rPr>
        <w:t xml:space="preserve"> is not associated with a profound </w:t>
      </w:r>
      <w:r w:rsidRPr="000F3AA1">
        <w:rPr>
          <w:rFonts w:cs="Arial"/>
          <w:color w:val="000000"/>
          <w:sz w:val="24"/>
          <w:szCs w:val="24"/>
        </w:rPr>
        <w:lastRenderedPageBreak/>
        <w:t xml:space="preserve">phenotypic change in the </w:t>
      </w:r>
      <w:r w:rsidR="00624183" w:rsidRPr="000F3AA1">
        <w:rPr>
          <w:rFonts w:cs="Arial"/>
          <w:color w:val="000000"/>
          <w:sz w:val="24"/>
          <w:szCs w:val="24"/>
        </w:rPr>
        <w:t xml:space="preserve">pharmacokinetic </w:t>
      </w:r>
      <w:r w:rsidRPr="000F3AA1">
        <w:rPr>
          <w:rFonts w:cs="Arial"/>
          <w:color w:val="000000"/>
          <w:sz w:val="24"/>
          <w:szCs w:val="24"/>
        </w:rPr>
        <w:t>handling of gilteritinib. Th</w:t>
      </w:r>
      <w:r w:rsidR="00624183" w:rsidRPr="000F3AA1">
        <w:rPr>
          <w:rFonts w:cs="Arial"/>
          <w:color w:val="000000"/>
          <w:sz w:val="24"/>
          <w:szCs w:val="24"/>
        </w:rPr>
        <w:t>is unexpected</w:t>
      </w:r>
      <w:r w:rsidRPr="000F3AA1">
        <w:rPr>
          <w:rFonts w:cs="Arial"/>
          <w:color w:val="000000"/>
          <w:sz w:val="24"/>
          <w:szCs w:val="24"/>
        </w:rPr>
        <w:t xml:space="preserve"> finding suggest</w:t>
      </w:r>
      <w:r w:rsidR="00624183" w:rsidRPr="000F3AA1">
        <w:rPr>
          <w:rFonts w:cs="Arial"/>
          <w:color w:val="000000"/>
          <w:sz w:val="24"/>
          <w:szCs w:val="24"/>
        </w:rPr>
        <w:t>s</w:t>
      </w:r>
      <w:r w:rsidRPr="000F3AA1">
        <w:rPr>
          <w:rFonts w:cs="Arial"/>
          <w:color w:val="000000"/>
          <w:sz w:val="24"/>
          <w:szCs w:val="24"/>
        </w:rPr>
        <w:t xml:space="preserve"> that the contributi</w:t>
      </w:r>
      <w:bookmarkStart w:id="0" w:name="_GoBack"/>
      <w:bookmarkEnd w:id="0"/>
      <w:r w:rsidRPr="000F3AA1">
        <w:rPr>
          <w:rFonts w:cs="Arial"/>
          <w:color w:val="000000"/>
          <w:sz w:val="24"/>
          <w:szCs w:val="24"/>
        </w:rPr>
        <w:t xml:space="preserve">on of CYP3A-mediated metabolism to previously reported drug-drug interactions of gilteritinib with </w:t>
      </w:r>
      <w:r w:rsidR="00F86FB0" w:rsidRPr="000F3AA1">
        <w:rPr>
          <w:rFonts w:cs="Arial"/>
          <w:color w:val="000000"/>
          <w:sz w:val="24"/>
          <w:szCs w:val="24"/>
        </w:rPr>
        <w:t xml:space="preserve">CYP3A4-inhibitory </w:t>
      </w:r>
      <w:r w:rsidRPr="000F3AA1">
        <w:rPr>
          <w:rFonts w:cs="Arial"/>
          <w:color w:val="000000"/>
          <w:sz w:val="24"/>
          <w:szCs w:val="24"/>
        </w:rPr>
        <w:t>azole antifungals</w:t>
      </w:r>
      <w:r w:rsidR="00624183" w:rsidRPr="000F3AA1">
        <w:rPr>
          <w:rFonts w:cs="Arial"/>
          <w:color w:val="000000"/>
          <w:sz w:val="24"/>
          <w:szCs w:val="24"/>
        </w:rPr>
        <w:t>,</w:t>
      </w:r>
      <w:r w:rsidRPr="000F3AA1">
        <w:rPr>
          <w:rFonts w:cs="Arial"/>
          <w:color w:val="000000"/>
          <w:sz w:val="24"/>
          <w:szCs w:val="24"/>
        </w:rPr>
        <w:t xml:space="preserve"> such as itraconazole</w:t>
      </w:r>
      <w:r w:rsidR="00624183" w:rsidRPr="000F3AA1">
        <w:rPr>
          <w:rFonts w:cs="Arial"/>
          <w:color w:val="000000"/>
          <w:sz w:val="24"/>
          <w:szCs w:val="24"/>
        </w:rPr>
        <w:t>,</w:t>
      </w:r>
      <w:r w:rsidRPr="000F3AA1">
        <w:rPr>
          <w:rFonts w:cs="Arial"/>
          <w:color w:val="000000"/>
          <w:sz w:val="24"/>
          <w:szCs w:val="24"/>
        </w:rPr>
        <w:t xml:space="preserve"> </w:t>
      </w:r>
      <w:r w:rsidR="002362AE" w:rsidRPr="000F3AA1">
        <w:rPr>
          <w:rFonts w:cs="Arial"/>
          <w:color w:val="000000"/>
          <w:sz w:val="24"/>
          <w:szCs w:val="24"/>
        </w:rPr>
        <w:t xml:space="preserve">is low and </w:t>
      </w:r>
      <w:r w:rsidRPr="000F3AA1">
        <w:rPr>
          <w:rFonts w:cs="Arial"/>
          <w:color w:val="000000"/>
          <w:sz w:val="24"/>
          <w:szCs w:val="24"/>
        </w:rPr>
        <w:t xml:space="preserve">may </w:t>
      </w:r>
      <w:r w:rsidR="002362AE" w:rsidRPr="000F3AA1">
        <w:rPr>
          <w:rFonts w:cs="Arial"/>
          <w:color w:val="000000"/>
          <w:sz w:val="24"/>
          <w:szCs w:val="24"/>
        </w:rPr>
        <w:t xml:space="preserve">instead </w:t>
      </w:r>
      <w:r w:rsidRPr="000F3AA1">
        <w:rPr>
          <w:rFonts w:cs="Arial"/>
          <w:color w:val="000000"/>
          <w:sz w:val="24"/>
          <w:szCs w:val="24"/>
        </w:rPr>
        <w:t>be mechanistically linked with OATP1B-mediated transport modulation. This possibility is currently under further investigation in a transgenic mouse model with hepatic expression of human OATP1B1</w:t>
      </w:r>
      <w:r w:rsidR="007E7CE8" w:rsidRPr="000F3AA1">
        <w:rPr>
          <w:rFonts w:cs="Arial"/>
          <w:color w:val="000000"/>
          <w:sz w:val="24"/>
          <w:szCs w:val="24"/>
        </w:rPr>
        <w:t>.</w:t>
      </w:r>
      <w:r w:rsidR="00F62450" w:rsidRPr="000F3AA1">
        <w:rPr>
          <w:rFonts w:cs="Arial"/>
          <w:color w:val="000000"/>
          <w:sz w:val="24"/>
          <w:szCs w:val="24"/>
        </w:rPr>
        <w:t xml:space="preserve"> In addition, the ability of gilteritinib to potently inhibit the function of OCT2 and MATE1 suggests that caution is warranted when gilteritinib is given in combination with agents that are renally eliminated via these pathways.</w:t>
      </w:r>
    </w:p>
    <w:p w14:paraId="2480A93E" w14:textId="76E986E3" w:rsidR="007C2D80" w:rsidRPr="000F3AA1" w:rsidRDefault="007C2D80" w:rsidP="0039360B">
      <w:pPr>
        <w:widowControl w:val="0"/>
        <w:spacing w:after="0" w:line="240" w:lineRule="auto"/>
        <w:contextualSpacing/>
        <w:jc w:val="both"/>
        <w:rPr>
          <w:rFonts w:cs="Arial"/>
          <w:color w:val="000000"/>
          <w:sz w:val="20"/>
          <w:szCs w:val="20"/>
        </w:rPr>
      </w:pPr>
    </w:p>
    <w:p w14:paraId="33EA6994" w14:textId="45F1E50F" w:rsidR="007C2D80" w:rsidRPr="000F3AA1" w:rsidRDefault="009731E7" w:rsidP="0039360B">
      <w:pPr>
        <w:widowControl w:val="0"/>
        <w:spacing w:after="0" w:line="240" w:lineRule="auto"/>
        <w:contextualSpacing/>
        <w:jc w:val="both"/>
        <w:rPr>
          <w:rFonts w:cs="Arial"/>
          <w:b/>
          <w:bCs/>
          <w:sz w:val="20"/>
          <w:szCs w:val="20"/>
        </w:rPr>
      </w:pPr>
      <w:r w:rsidRPr="000F3AA1">
        <w:rPr>
          <w:rFonts w:cs="Arial"/>
          <w:b/>
          <w:bCs/>
          <w:sz w:val="20"/>
          <w:szCs w:val="20"/>
        </w:rPr>
        <w:t>Support and</w:t>
      </w:r>
      <w:r w:rsidR="007C2D80" w:rsidRPr="000F3AA1">
        <w:rPr>
          <w:rFonts w:cs="Arial"/>
          <w:b/>
          <w:bCs/>
          <w:sz w:val="20"/>
          <w:szCs w:val="20"/>
        </w:rPr>
        <w:t xml:space="preserve"> Funding Information</w:t>
      </w:r>
    </w:p>
    <w:p w14:paraId="77E8AAB9" w14:textId="7C29E2C8" w:rsidR="007C2D80" w:rsidRPr="000F3AA1" w:rsidRDefault="00315D72" w:rsidP="0039360B">
      <w:pPr>
        <w:widowControl w:val="0"/>
        <w:spacing w:after="0" w:line="240" w:lineRule="auto"/>
        <w:contextualSpacing/>
        <w:jc w:val="both"/>
        <w:rPr>
          <w:rFonts w:cs="Arial"/>
          <w:sz w:val="20"/>
          <w:szCs w:val="20"/>
        </w:rPr>
      </w:pPr>
      <w:r w:rsidRPr="000F3AA1">
        <w:rPr>
          <w:rFonts w:cs="Arial"/>
          <w:sz w:val="20"/>
          <w:szCs w:val="20"/>
        </w:rPr>
        <w:t xml:space="preserve">This work was supported by funds from The Ohio State University Comprehensive Cancer Center Pelotonia foundation </w:t>
      </w:r>
      <w:r w:rsidR="003C1505" w:rsidRPr="000F3AA1">
        <w:rPr>
          <w:rFonts w:cs="Arial"/>
          <w:sz w:val="20"/>
          <w:szCs w:val="20"/>
        </w:rPr>
        <w:t xml:space="preserve">and </w:t>
      </w:r>
      <w:r w:rsidRPr="000F3AA1">
        <w:rPr>
          <w:rFonts w:cs="Arial"/>
          <w:sz w:val="20"/>
          <w:szCs w:val="20"/>
        </w:rPr>
        <w:t xml:space="preserve">the </w:t>
      </w:r>
      <w:r w:rsidR="007E7CE8" w:rsidRPr="000F3AA1">
        <w:rPr>
          <w:rFonts w:cs="Arial"/>
          <w:sz w:val="20"/>
          <w:szCs w:val="20"/>
        </w:rPr>
        <w:t>Eli</w:t>
      </w:r>
      <w:r w:rsidR="00674AEC" w:rsidRPr="000F3AA1">
        <w:rPr>
          <w:rFonts w:cs="Arial"/>
          <w:sz w:val="20"/>
          <w:szCs w:val="20"/>
        </w:rPr>
        <w:t xml:space="preserve"> </w:t>
      </w:r>
      <w:r w:rsidR="007E7CE8" w:rsidRPr="000F3AA1">
        <w:rPr>
          <w:rFonts w:cs="Arial"/>
          <w:sz w:val="20"/>
          <w:szCs w:val="20"/>
        </w:rPr>
        <w:t xml:space="preserve">Lilly </w:t>
      </w:r>
      <w:r w:rsidRPr="000F3AA1">
        <w:rPr>
          <w:rFonts w:cs="Arial"/>
          <w:sz w:val="20"/>
          <w:szCs w:val="20"/>
        </w:rPr>
        <w:t>Fellowship Program</w:t>
      </w:r>
      <w:r w:rsidR="00674AEC" w:rsidRPr="000F3AA1">
        <w:rPr>
          <w:rFonts w:cs="Arial"/>
          <w:sz w:val="20"/>
          <w:szCs w:val="20"/>
        </w:rPr>
        <w:t xml:space="preserve"> (DAG)</w:t>
      </w:r>
      <w:r w:rsidRPr="000F3AA1">
        <w:rPr>
          <w:rFonts w:cs="Arial"/>
          <w:sz w:val="20"/>
          <w:szCs w:val="20"/>
        </w:rPr>
        <w:t xml:space="preserve">. </w:t>
      </w:r>
    </w:p>
    <w:p w14:paraId="30089332" w14:textId="5403BBB5" w:rsidR="00674AEC" w:rsidRPr="000F3AA1" w:rsidRDefault="00674AEC" w:rsidP="0039360B">
      <w:pPr>
        <w:widowControl w:val="0"/>
        <w:spacing w:after="0" w:line="240" w:lineRule="auto"/>
        <w:contextualSpacing/>
        <w:jc w:val="both"/>
        <w:rPr>
          <w:rFonts w:cs="Arial"/>
          <w:sz w:val="20"/>
          <w:szCs w:val="20"/>
        </w:rPr>
      </w:pPr>
    </w:p>
    <w:p w14:paraId="2E44E0BA" w14:textId="72543EAC" w:rsidR="00674AEC" w:rsidRPr="000F3AA1" w:rsidRDefault="00F41387" w:rsidP="0039360B">
      <w:pPr>
        <w:widowControl w:val="0"/>
        <w:spacing w:after="0" w:line="240" w:lineRule="auto"/>
        <w:contextualSpacing/>
        <w:jc w:val="both"/>
        <w:rPr>
          <w:rFonts w:cs="Arial"/>
          <w:sz w:val="20"/>
          <w:szCs w:val="20"/>
        </w:rPr>
      </w:pPr>
      <w:r w:rsidRPr="000F3AA1">
        <w:rPr>
          <w:rFonts w:cs="Arial"/>
          <w:sz w:val="20"/>
          <w:szCs w:val="20"/>
        </w:rPr>
        <w:t>3,496</w:t>
      </w:r>
      <w:r w:rsidR="00674AEC" w:rsidRPr="000F3AA1">
        <w:rPr>
          <w:rFonts w:cs="Arial"/>
          <w:sz w:val="20"/>
          <w:szCs w:val="20"/>
        </w:rPr>
        <w:t xml:space="preserve"> characters</w:t>
      </w:r>
    </w:p>
    <w:sectPr w:rsidR="00674AEC" w:rsidRPr="000F3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6C5C5" w14:textId="77777777" w:rsidR="004C75B6" w:rsidRDefault="004C75B6" w:rsidP="009731E7">
      <w:pPr>
        <w:spacing w:after="0" w:line="240" w:lineRule="auto"/>
      </w:pPr>
      <w:r>
        <w:separator/>
      </w:r>
    </w:p>
  </w:endnote>
  <w:endnote w:type="continuationSeparator" w:id="0">
    <w:p w14:paraId="500A1301" w14:textId="77777777" w:rsidR="004C75B6" w:rsidRDefault="004C75B6" w:rsidP="0097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A63C7" w14:textId="77777777" w:rsidR="004C75B6" w:rsidRDefault="004C75B6" w:rsidP="009731E7">
      <w:pPr>
        <w:spacing w:after="0" w:line="240" w:lineRule="auto"/>
      </w:pPr>
      <w:r>
        <w:separator/>
      </w:r>
    </w:p>
  </w:footnote>
  <w:footnote w:type="continuationSeparator" w:id="0">
    <w:p w14:paraId="711C1799" w14:textId="77777777" w:rsidR="004C75B6" w:rsidRDefault="004C75B6" w:rsidP="00973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80"/>
    <w:rsid w:val="000F3AA1"/>
    <w:rsid w:val="00101CC8"/>
    <w:rsid w:val="00152089"/>
    <w:rsid w:val="0015344B"/>
    <w:rsid w:val="00166434"/>
    <w:rsid w:val="001F558A"/>
    <w:rsid w:val="002362AE"/>
    <w:rsid w:val="00265CE4"/>
    <w:rsid w:val="002B0DB9"/>
    <w:rsid w:val="002F6E8A"/>
    <w:rsid w:val="00315D72"/>
    <w:rsid w:val="0039360B"/>
    <w:rsid w:val="003C1505"/>
    <w:rsid w:val="00406C19"/>
    <w:rsid w:val="00477C30"/>
    <w:rsid w:val="00481177"/>
    <w:rsid w:val="004C75B6"/>
    <w:rsid w:val="005225DC"/>
    <w:rsid w:val="005377F3"/>
    <w:rsid w:val="00556C38"/>
    <w:rsid w:val="00590427"/>
    <w:rsid w:val="00604510"/>
    <w:rsid w:val="00613284"/>
    <w:rsid w:val="00624183"/>
    <w:rsid w:val="00674AEC"/>
    <w:rsid w:val="00683FD0"/>
    <w:rsid w:val="00693170"/>
    <w:rsid w:val="006A5414"/>
    <w:rsid w:val="0071606D"/>
    <w:rsid w:val="007849A2"/>
    <w:rsid w:val="007873F6"/>
    <w:rsid w:val="007C2D80"/>
    <w:rsid w:val="007D26D1"/>
    <w:rsid w:val="007E7CE8"/>
    <w:rsid w:val="007F255C"/>
    <w:rsid w:val="0080304F"/>
    <w:rsid w:val="00826EC7"/>
    <w:rsid w:val="00847DD4"/>
    <w:rsid w:val="008932F1"/>
    <w:rsid w:val="008C1A89"/>
    <w:rsid w:val="00913B26"/>
    <w:rsid w:val="009731E7"/>
    <w:rsid w:val="00984F3D"/>
    <w:rsid w:val="009B003F"/>
    <w:rsid w:val="00A2070D"/>
    <w:rsid w:val="00A26BBE"/>
    <w:rsid w:val="00A75D1C"/>
    <w:rsid w:val="00B02775"/>
    <w:rsid w:val="00B61DFA"/>
    <w:rsid w:val="00B82FB2"/>
    <w:rsid w:val="00C056A4"/>
    <w:rsid w:val="00C5487D"/>
    <w:rsid w:val="00CC449F"/>
    <w:rsid w:val="00CC46FF"/>
    <w:rsid w:val="00CD7C74"/>
    <w:rsid w:val="00D7110A"/>
    <w:rsid w:val="00DC0BF4"/>
    <w:rsid w:val="00E07336"/>
    <w:rsid w:val="00E238D3"/>
    <w:rsid w:val="00E51F80"/>
    <w:rsid w:val="00E91FF9"/>
    <w:rsid w:val="00EF090E"/>
    <w:rsid w:val="00F41387"/>
    <w:rsid w:val="00F62450"/>
    <w:rsid w:val="00F86FB0"/>
    <w:rsid w:val="00F95EFC"/>
    <w:rsid w:val="00F96FDA"/>
    <w:rsid w:val="00FD0912"/>
    <w:rsid w:val="00FE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34EC"/>
  <w15:chartTrackingRefBased/>
  <w15:docId w15:val="{555245D1-D1C8-4EE9-B54C-FB68B176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uiPriority w:val="1"/>
    <w:rsid w:val="007C2D80"/>
    <w:rPr>
      <w:rFonts w:ascii="Calibri" w:hAnsi="Calibri" w:cs="Times New Roman"/>
      <w:b w:val="0"/>
      <w:i/>
      <w:sz w:val="24"/>
    </w:rPr>
  </w:style>
  <w:style w:type="character" w:customStyle="1" w:styleId="DocTitle">
    <w:name w:val="Doc Title"/>
    <w:uiPriority w:val="1"/>
    <w:qFormat/>
    <w:rsid w:val="007C2D80"/>
    <w:rPr>
      <w:rFonts w:ascii="Calibri" w:hAnsi="Calibri"/>
      <w:b/>
      <w:sz w:val="28"/>
    </w:rPr>
  </w:style>
  <w:style w:type="character" w:styleId="CommentReference">
    <w:name w:val="annotation reference"/>
    <w:basedOn w:val="DefaultParagraphFont"/>
    <w:uiPriority w:val="99"/>
    <w:semiHidden/>
    <w:unhideWhenUsed/>
    <w:rsid w:val="00A26BBE"/>
    <w:rPr>
      <w:sz w:val="16"/>
      <w:szCs w:val="16"/>
    </w:rPr>
  </w:style>
  <w:style w:type="paragraph" w:styleId="CommentText">
    <w:name w:val="annotation text"/>
    <w:basedOn w:val="Normal"/>
    <w:link w:val="CommentTextChar"/>
    <w:uiPriority w:val="99"/>
    <w:semiHidden/>
    <w:unhideWhenUsed/>
    <w:rsid w:val="00A26BBE"/>
    <w:pPr>
      <w:spacing w:line="240" w:lineRule="auto"/>
    </w:pPr>
    <w:rPr>
      <w:sz w:val="20"/>
      <w:szCs w:val="20"/>
    </w:rPr>
  </w:style>
  <w:style w:type="character" w:customStyle="1" w:styleId="CommentTextChar">
    <w:name w:val="Comment Text Char"/>
    <w:basedOn w:val="DefaultParagraphFont"/>
    <w:link w:val="CommentText"/>
    <w:uiPriority w:val="99"/>
    <w:semiHidden/>
    <w:rsid w:val="00A26BBE"/>
    <w:rPr>
      <w:sz w:val="20"/>
      <w:szCs w:val="20"/>
    </w:rPr>
  </w:style>
  <w:style w:type="paragraph" w:styleId="CommentSubject">
    <w:name w:val="annotation subject"/>
    <w:basedOn w:val="CommentText"/>
    <w:next w:val="CommentText"/>
    <w:link w:val="CommentSubjectChar"/>
    <w:uiPriority w:val="99"/>
    <w:semiHidden/>
    <w:unhideWhenUsed/>
    <w:rsid w:val="00A26BBE"/>
    <w:rPr>
      <w:b/>
      <w:bCs/>
    </w:rPr>
  </w:style>
  <w:style w:type="character" w:customStyle="1" w:styleId="CommentSubjectChar">
    <w:name w:val="Comment Subject Char"/>
    <w:basedOn w:val="CommentTextChar"/>
    <w:link w:val="CommentSubject"/>
    <w:uiPriority w:val="99"/>
    <w:semiHidden/>
    <w:rsid w:val="00A26BBE"/>
    <w:rPr>
      <w:b/>
      <w:bCs/>
      <w:sz w:val="20"/>
      <w:szCs w:val="20"/>
    </w:rPr>
  </w:style>
  <w:style w:type="paragraph" w:styleId="BalloonText">
    <w:name w:val="Balloon Text"/>
    <w:basedOn w:val="Normal"/>
    <w:link w:val="BalloonTextChar"/>
    <w:uiPriority w:val="99"/>
    <w:semiHidden/>
    <w:unhideWhenUsed/>
    <w:rsid w:val="00A26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BE"/>
    <w:rPr>
      <w:rFonts w:ascii="Segoe UI" w:hAnsi="Segoe UI" w:cs="Segoe UI"/>
      <w:sz w:val="18"/>
      <w:szCs w:val="18"/>
    </w:rPr>
  </w:style>
  <w:style w:type="paragraph" w:styleId="Header">
    <w:name w:val="header"/>
    <w:basedOn w:val="Normal"/>
    <w:link w:val="HeaderChar"/>
    <w:uiPriority w:val="99"/>
    <w:unhideWhenUsed/>
    <w:rsid w:val="00973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E7"/>
  </w:style>
  <w:style w:type="paragraph" w:styleId="Footer">
    <w:name w:val="footer"/>
    <w:basedOn w:val="Normal"/>
    <w:link w:val="FooterChar"/>
    <w:uiPriority w:val="99"/>
    <w:unhideWhenUsed/>
    <w:rsid w:val="00973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F0E273F-A675-43BA-B767-189DA1EC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3568</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Eisenmann</dc:creator>
  <cp:keywords/>
  <dc:description/>
  <cp:lastModifiedBy>Garrison, Dominique</cp:lastModifiedBy>
  <cp:revision>2</cp:revision>
  <dcterms:created xsi:type="dcterms:W3CDTF">2021-02-28T18:28:00Z</dcterms:created>
  <dcterms:modified xsi:type="dcterms:W3CDTF">2021-02-28T18:28:00Z</dcterms:modified>
</cp:coreProperties>
</file>