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80D" w:rsidRPr="0087116E" w:rsidRDefault="00CE263C" w:rsidP="00CB70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When a Focusing Event </w:t>
      </w:r>
      <w:r w:rsidR="003A1819">
        <w:rPr>
          <w:rFonts w:ascii="Times New Roman" w:hAnsi="Times New Roman" w:cs="Times New Roman"/>
          <w:b/>
          <w:sz w:val="24"/>
          <w:szCs w:val="24"/>
        </w:rPr>
        <w:t>Does Not</w:t>
      </w:r>
      <w:r>
        <w:rPr>
          <w:rFonts w:ascii="Times New Roman" w:hAnsi="Times New Roman" w:cs="Times New Roman"/>
          <w:b/>
          <w:sz w:val="24"/>
          <w:szCs w:val="24"/>
        </w:rPr>
        <w:t xml:space="preserve"> Solve the Problem:</w:t>
      </w:r>
      <w:r w:rsidR="0087116E" w:rsidRPr="0087116E">
        <w:rPr>
          <w:rFonts w:ascii="Times New Roman" w:hAnsi="Times New Roman" w:cs="Times New Roman"/>
          <w:b/>
          <w:sz w:val="24"/>
          <w:szCs w:val="24"/>
        </w:rPr>
        <w:t xml:space="preserve"> The Case of the Toledo Water Crisis</w:t>
      </w:r>
    </w:p>
    <w:p w:rsidR="00F35815" w:rsidRDefault="00F35815" w:rsidP="00C5180D">
      <w:pPr>
        <w:spacing w:after="0" w:line="240" w:lineRule="auto"/>
        <w:rPr>
          <w:rFonts w:ascii="Times New Roman" w:hAnsi="Times New Roman" w:cs="Times New Roman"/>
          <w:sz w:val="24"/>
          <w:szCs w:val="24"/>
        </w:rPr>
      </w:pPr>
    </w:p>
    <w:p w:rsidR="000D0DC7" w:rsidRDefault="00963F82" w:rsidP="00963F82">
      <w:pPr>
        <w:pStyle w:val="tnr12"/>
      </w:pPr>
      <w:r>
        <w:t xml:space="preserve">For three days in August 2014, half a million Toledo residents could not drink, brush their teeth, or do their dishes with water from their faucets. The cause was a large bloom of the toxic algae near the city’s water intake in Lake Erie, overrunning the treatment plant’s ability to treat the water to a safe level. The crisis received worldwide news coverage, acting as a focusing event on the decades-long </w:t>
      </w:r>
      <w:r w:rsidR="00365DD4">
        <w:t>problem</w:t>
      </w:r>
      <w:r>
        <w:t xml:space="preserve"> of harmful algal blooms in Lake Erie</w:t>
      </w:r>
      <w:r w:rsidR="00365DD4">
        <w:t>.</w:t>
      </w:r>
      <w:r w:rsidR="004A0E1C">
        <w:t xml:space="preserve"> While this focusing event had the potential to galvanize policy to solve the problem, five years </w:t>
      </w:r>
      <w:r w:rsidR="00E0315A">
        <w:t>after the Toledo water crisis</w:t>
      </w:r>
      <w:r w:rsidR="000D0DC7">
        <w:t xml:space="preserve"> </w:t>
      </w:r>
      <w:r w:rsidR="00AA5B68">
        <w:t>continuing algal blooms make it clear</w:t>
      </w:r>
      <w:r w:rsidR="004A0E1C">
        <w:t xml:space="preserve"> that </w:t>
      </w:r>
      <w:r w:rsidR="000D0DC7">
        <w:t xml:space="preserve">potential </w:t>
      </w:r>
      <w:r w:rsidR="004A0E1C">
        <w:t xml:space="preserve">has not been realized. </w:t>
      </w:r>
    </w:p>
    <w:p w:rsidR="000D0DC7" w:rsidRDefault="000D0DC7" w:rsidP="00963F82">
      <w:pPr>
        <w:pStyle w:val="tnr12"/>
      </w:pPr>
    </w:p>
    <w:p w:rsidR="0087116E" w:rsidRPr="00B36F9B" w:rsidRDefault="004A0E1C" w:rsidP="00B36F9B">
      <w:pPr>
        <w:pStyle w:val="tnr12"/>
      </w:pPr>
      <w:r>
        <w:t xml:space="preserve">Focusing events open a window of opportunity in which problems can be matched with solutions and politics can be aligned to make adoption of the solution more likely. </w:t>
      </w:r>
      <w:r w:rsidR="000D0DC7">
        <w:t>Previous</w:t>
      </w:r>
      <w:r w:rsidR="00685920">
        <w:t xml:space="preserve"> studies have examined how focusing events pull together the problem, politics, and policy streams to create </w:t>
      </w:r>
      <w:r w:rsidR="00B36F9B">
        <w:t xml:space="preserve">rapid </w:t>
      </w:r>
      <w:r w:rsidR="00685920">
        <w:t>change</w:t>
      </w:r>
      <w:r w:rsidR="00B36F9B">
        <w:t xml:space="preserve"> </w:t>
      </w:r>
      <w:r w:rsidR="00A6122F">
        <w:t>in the cases of Hurricane Katrina (Farley et al., 2007), avian influenza (</w:t>
      </w:r>
      <w:proofErr w:type="spellStart"/>
      <w:r w:rsidR="00A6122F">
        <w:t>DeLeo</w:t>
      </w:r>
      <w:proofErr w:type="spellEnd"/>
      <w:r w:rsidR="00A6122F">
        <w:t xml:space="preserve"> et al, 2012), the Deepwater Horizon disa</w:t>
      </w:r>
      <w:r w:rsidR="009C1363">
        <w:t>ster (Bishop, 2014</w:t>
      </w:r>
      <w:r w:rsidR="00A6122F">
        <w:t xml:space="preserve">), and more. However, </w:t>
      </w:r>
      <w:r w:rsidR="007E3F77">
        <w:t xml:space="preserve">most </w:t>
      </w:r>
      <w:r w:rsidR="00A6122F">
        <w:t xml:space="preserve">previous </w:t>
      </w:r>
      <w:r w:rsidR="00685920">
        <w:t xml:space="preserve">research </w:t>
      </w:r>
      <w:r w:rsidR="00B36F9B">
        <w:t xml:space="preserve">looks only at </w:t>
      </w:r>
      <w:r w:rsidR="00A6122F">
        <w:t>how the initial policy change was created and do</w:t>
      </w:r>
      <w:r w:rsidR="00E0315A">
        <w:t>es</w:t>
      </w:r>
      <w:r w:rsidR="00A6122F">
        <w:t xml:space="preserve"> not </w:t>
      </w:r>
      <w:r w:rsidR="00B36F9B">
        <w:t>go beyond that point</w:t>
      </w:r>
      <w:r w:rsidR="00685920">
        <w:t xml:space="preserve">. Thus, the </w:t>
      </w:r>
      <w:r w:rsidR="00685920" w:rsidRPr="00685920">
        <w:rPr>
          <w:b/>
        </w:rPr>
        <w:t>gap in knowledge</w:t>
      </w:r>
      <w:r w:rsidR="00E0315A">
        <w:t xml:space="preserve"> addressed by</w:t>
      </w:r>
      <w:r w:rsidR="00685920">
        <w:t xml:space="preserve"> this study is: What happens </w:t>
      </w:r>
      <w:r w:rsidR="00685920" w:rsidRPr="00685920">
        <w:rPr>
          <w:i/>
        </w:rPr>
        <w:t>after</w:t>
      </w:r>
      <w:r w:rsidR="00685920">
        <w:t xml:space="preserve"> a focusing event creates policy change –</w:t>
      </w:r>
      <w:r w:rsidR="00A6122F">
        <w:t xml:space="preserve"> </w:t>
      </w:r>
      <w:r w:rsidR="00685920">
        <w:t xml:space="preserve">particularly if the </w:t>
      </w:r>
      <w:r w:rsidR="00E0315A">
        <w:t xml:space="preserve">initial policy </w:t>
      </w:r>
      <w:r w:rsidR="00685920">
        <w:t xml:space="preserve">change is not enough to address the problem that </w:t>
      </w:r>
      <w:r w:rsidR="00A6122F">
        <w:t>led to</w:t>
      </w:r>
      <w:r w:rsidR="00685920">
        <w:t xml:space="preserve"> the focusing event</w:t>
      </w:r>
      <w:r w:rsidR="00A6122F">
        <w:t xml:space="preserve"> in the first place</w:t>
      </w:r>
      <w:r w:rsidR="00685920">
        <w:t xml:space="preserve">? </w:t>
      </w:r>
      <w:r w:rsidR="004651BC">
        <w:t xml:space="preserve">For example, we don’t know whether </w:t>
      </w:r>
      <w:r w:rsidR="00A6122F">
        <w:t xml:space="preserve">stakeholders will </w:t>
      </w:r>
      <w:r w:rsidR="00E0315A">
        <w:t>see the problem has not been solved and decide to</w:t>
      </w:r>
      <w:r w:rsidR="00A6122F">
        <w:t xml:space="preserve"> make </w:t>
      </w:r>
      <w:r w:rsidR="007E3F77">
        <w:t xml:space="preserve">additional </w:t>
      </w:r>
      <w:r w:rsidR="00A6122F">
        <w:t xml:space="preserve">change, or if </w:t>
      </w:r>
      <w:r w:rsidR="00E0315A">
        <w:t xml:space="preserve">legislative </w:t>
      </w:r>
      <w:r w:rsidR="007E3F77">
        <w:t xml:space="preserve">mandates </w:t>
      </w:r>
      <w:r w:rsidR="00E0315A">
        <w:t>will be</w:t>
      </w:r>
      <w:r w:rsidR="007E3F77">
        <w:t xml:space="preserve"> </w:t>
      </w:r>
      <w:r w:rsidR="00440226">
        <w:t>needed</w:t>
      </w:r>
      <w:bookmarkStart w:id="0" w:name="_GoBack"/>
      <w:bookmarkEnd w:id="0"/>
      <w:r w:rsidR="00A6122F">
        <w:t xml:space="preserve">. </w:t>
      </w:r>
      <w:r w:rsidR="005A133B">
        <w:t>Answering these</w:t>
      </w:r>
      <w:r w:rsidR="00411001">
        <w:t xml:space="preserve"> question</w:t>
      </w:r>
      <w:r w:rsidR="005A133B">
        <w:t>s</w:t>
      </w:r>
      <w:r w:rsidR="00411001">
        <w:t xml:space="preserve"> will help policy makers, stakeholders, </w:t>
      </w:r>
      <w:r w:rsidR="00B94F56">
        <w:t xml:space="preserve">and </w:t>
      </w:r>
      <w:r w:rsidR="004651BC">
        <w:t>advocacy groups</w:t>
      </w:r>
      <w:r w:rsidR="00411001">
        <w:t xml:space="preserve"> </w:t>
      </w:r>
      <w:r w:rsidR="00566EA6">
        <w:t xml:space="preserve">understand the strategies needed to solve the </w:t>
      </w:r>
      <w:r w:rsidR="004651BC">
        <w:t xml:space="preserve">root </w:t>
      </w:r>
      <w:r w:rsidR="00597F1B">
        <w:t>problem</w:t>
      </w:r>
      <w:r w:rsidR="00B94F56">
        <w:t xml:space="preserve">. Without this understanding, the problem may </w:t>
      </w:r>
      <w:r w:rsidR="001D3D4D">
        <w:t>not</w:t>
      </w:r>
      <w:r w:rsidR="00B94F56">
        <w:t xml:space="preserve"> get solved at all.</w:t>
      </w:r>
    </w:p>
    <w:p w:rsidR="00B94F56" w:rsidRDefault="00B94F56" w:rsidP="0087116E">
      <w:pPr>
        <w:pStyle w:val="tnr12"/>
      </w:pPr>
    </w:p>
    <w:p w:rsidR="000D0DC7" w:rsidRDefault="000D0DC7" w:rsidP="000D0DC7">
      <w:pPr>
        <w:pStyle w:val="tnr12"/>
      </w:pPr>
      <w:r>
        <w:t xml:space="preserve">A focusing event is an event that is </w:t>
      </w:r>
      <w:r w:rsidR="0032256D">
        <w:t>sudden, uncommon, harmful, concentrated in a geographical area or community of interest, and known to both policy makers and the public</w:t>
      </w:r>
      <w:r>
        <w:t xml:space="preserve"> (Birkland 1998). Focusing events create change by pulling together three streams: the problem stream, which contains ideas about various problems in society; the politics stream, which contains public opinion</w:t>
      </w:r>
      <w:r w:rsidR="00E0315A">
        <w:t>, agenda setting,</w:t>
      </w:r>
      <w:r>
        <w:t xml:space="preserve"> and electoral politics; and the policy stream, which contains ideas about how problems can be addressed by government (</w:t>
      </w:r>
      <w:proofErr w:type="spellStart"/>
      <w:r>
        <w:t>Kingdon</w:t>
      </w:r>
      <w:proofErr w:type="spellEnd"/>
      <w:r>
        <w:t xml:space="preserve">, </w:t>
      </w:r>
      <w:r w:rsidR="00B63DBD">
        <w:t>2003</w:t>
      </w:r>
      <w:r>
        <w:t xml:space="preserve">). </w:t>
      </w:r>
    </w:p>
    <w:p w:rsidR="000D0DC7" w:rsidRDefault="000D0DC7" w:rsidP="000D0DC7">
      <w:pPr>
        <w:pStyle w:val="tnr12"/>
      </w:pPr>
    </w:p>
    <w:p w:rsidR="00597F1B" w:rsidRDefault="000216DF" w:rsidP="0087116E">
      <w:pPr>
        <w:pStyle w:val="tnr12"/>
      </w:pPr>
      <w:r>
        <w:t xml:space="preserve">The </w:t>
      </w:r>
      <w:r w:rsidRPr="00563A27">
        <w:rPr>
          <w:i/>
        </w:rPr>
        <w:t>long-term goal</w:t>
      </w:r>
      <w:r>
        <w:t xml:space="preserve"> </w:t>
      </w:r>
      <w:r w:rsidR="00E0315A">
        <w:t>for</w:t>
      </w:r>
      <w:r w:rsidR="00EC0E04">
        <w:t xml:space="preserve"> this project </w:t>
      </w:r>
      <w:r w:rsidR="00B34445">
        <w:t xml:space="preserve">is to </w:t>
      </w:r>
      <w:r w:rsidR="00283306">
        <w:t>understand</w:t>
      </w:r>
      <w:r w:rsidR="00B34445">
        <w:t xml:space="preserve"> the role of focusing events in public opinion, agenda setting, and policy</w:t>
      </w:r>
      <w:r w:rsidR="00283306">
        <w:t>-making</w:t>
      </w:r>
      <w:r w:rsidR="00B34445">
        <w:t>. T</w:t>
      </w:r>
      <w:r w:rsidR="00283306">
        <w:t xml:space="preserve">he </w:t>
      </w:r>
      <w:r w:rsidR="00283306" w:rsidRPr="007E4036">
        <w:rPr>
          <w:i/>
        </w:rPr>
        <w:t>objective</w:t>
      </w:r>
      <w:r w:rsidR="00283306">
        <w:t xml:space="preserve"> is to examine </w:t>
      </w:r>
      <w:r w:rsidR="007B75B1">
        <w:t>not just how</w:t>
      </w:r>
      <w:r>
        <w:t xml:space="preserve"> </w:t>
      </w:r>
      <w:r w:rsidR="00283306">
        <w:t>focusing events</w:t>
      </w:r>
      <w:r>
        <w:t xml:space="preserve"> lead to</w:t>
      </w:r>
      <w:r w:rsidR="007B75B1">
        <w:t xml:space="preserve"> </w:t>
      </w:r>
      <w:r w:rsidR="00283306">
        <w:t>initial</w:t>
      </w:r>
      <w:r w:rsidR="007B75B1">
        <w:t xml:space="preserve"> </w:t>
      </w:r>
      <w:r>
        <w:t>policy change</w:t>
      </w:r>
      <w:r w:rsidR="007B75B1">
        <w:t xml:space="preserve">, but </w:t>
      </w:r>
      <w:r>
        <w:t xml:space="preserve">also how events play out in the years after, especially for cases in which the </w:t>
      </w:r>
      <w:r w:rsidR="00283306">
        <w:t>initial</w:t>
      </w:r>
      <w:r>
        <w:t xml:space="preserve"> policy change does not solve the problem. </w:t>
      </w:r>
      <w:r w:rsidR="00283306">
        <w:t xml:space="preserve">This project will examine these dynamics through a case study of the Toledo water crisis. </w:t>
      </w:r>
      <w:r w:rsidR="00597F1B">
        <w:t xml:space="preserve">In this case, the </w:t>
      </w:r>
      <w:r w:rsidR="00F11D32">
        <w:t xml:space="preserve">chief </w:t>
      </w:r>
      <w:r w:rsidR="00283306">
        <w:t>cause</w:t>
      </w:r>
      <w:r w:rsidR="00F11D32">
        <w:t xml:space="preserve"> </w:t>
      </w:r>
      <w:r w:rsidR="00CF0362">
        <w:t>i</w:t>
      </w:r>
      <w:r w:rsidR="00F11D32">
        <w:t>s phosphoru</w:t>
      </w:r>
      <w:r w:rsidR="00332F16">
        <w:t xml:space="preserve">s, which has been widely eliminated from point-sources but </w:t>
      </w:r>
      <w:r w:rsidR="00597F1B">
        <w:t xml:space="preserve">is </w:t>
      </w:r>
      <w:r w:rsidR="00332F16">
        <w:t xml:space="preserve">unregulated from non-point sources such as </w:t>
      </w:r>
      <w:r w:rsidR="00CD5F79">
        <w:t xml:space="preserve">fertilizer runoff. </w:t>
      </w:r>
      <w:r w:rsidR="00373A3D">
        <w:t>About 85% of phosphorus runoff in the Maumee watershed comes from fertilizer used in agriculture</w:t>
      </w:r>
      <w:r w:rsidR="00EC0E04">
        <w:t xml:space="preserve"> (</w:t>
      </w:r>
      <w:proofErr w:type="spellStart"/>
      <w:r w:rsidR="00EC0E04">
        <w:t>Scavia</w:t>
      </w:r>
      <w:proofErr w:type="spellEnd"/>
      <w:r w:rsidR="00EC0E04">
        <w:t xml:space="preserve"> et al, 2016)</w:t>
      </w:r>
      <w:r w:rsidR="00373A3D">
        <w:t xml:space="preserve">. </w:t>
      </w:r>
      <w:r w:rsidR="00CD5F79">
        <w:t xml:space="preserve">Phosphorus </w:t>
      </w:r>
      <w:r w:rsidR="00283306">
        <w:t>drives</w:t>
      </w:r>
      <w:r w:rsidR="00CD5F79">
        <w:t xml:space="preserve"> </w:t>
      </w:r>
      <w:r w:rsidR="00283306">
        <w:t xml:space="preserve">the growth of </w:t>
      </w:r>
      <w:r w:rsidR="00373A3D">
        <w:t>algae in Lake Erie</w:t>
      </w:r>
      <w:r w:rsidR="00CD5F79">
        <w:t>, leading to large often toxic blooms, with significant economic, public hea</w:t>
      </w:r>
      <w:r w:rsidR="00F377B2">
        <w:t>lth, and environmental impacts.</w:t>
      </w:r>
    </w:p>
    <w:p w:rsidR="00597F1B" w:rsidRDefault="00597F1B" w:rsidP="0087116E">
      <w:pPr>
        <w:pStyle w:val="tnr12"/>
      </w:pPr>
    </w:p>
    <w:p w:rsidR="000F0363" w:rsidRDefault="00CD5F79" w:rsidP="00EB6B7F">
      <w:pPr>
        <w:pStyle w:val="tnr12"/>
      </w:pPr>
      <w:r>
        <w:t>In the after</w:t>
      </w:r>
      <w:r w:rsidR="00A81E2B">
        <w:t>math of the Toledo water crisis,</w:t>
      </w:r>
      <w:r w:rsidR="00597F1B">
        <w:t xml:space="preserve"> policy changes took place on three levels. First, Ohio, Michigan, and Ontario</w:t>
      </w:r>
      <w:r w:rsidR="00A81E2B">
        <w:t xml:space="preserve"> </w:t>
      </w:r>
      <w:r w:rsidR="00597F1B">
        <w:t>made a commitment to reduce</w:t>
      </w:r>
      <w:r w:rsidR="00A81E2B">
        <w:t xml:space="preserve"> phosphorus runoff </w:t>
      </w:r>
      <w:r w:rsidR="009754B7">
        <w:t xml:space="preserve">20% </w:t>
      </w:r>
      <w:r w:rsidR="009458C8">
        <w:t xml:space="preserve">by 2020 and </w:t>
      </w:r>
      <w:r w:rsidR="009754B7">
        <w:t xml:space="preserve">40% </w:t>
      </w:r>
      <w:r w:rsidR="00A81E2B">
        <w:t>by 2025</w:t>
      </w:r>
      <w:r w:rsidR="00597F1B">
        <w:t>. Second,</w:t>
      </w:r>
      <w:r w:rsidR="009458C8">
        <w:t xml:space="preserve"> the</w:t>
      </w:r>
      <w:r w:rsidR="00A81E2B">
        <w:t xml:space="preserve"> Ohio </w:t>
      </w:r>
      <w:r>
        <w:t xml:space="preserve">state legislature </w:t>
      </w:r>
      <w:r w:rsidR="0082467B">
        <w:t xml:space="preserve">passed laws </w:t>
      </w:r>
      <w:r w:rsidR="00422E3F">
        <w:t>prohibiting</w:t>
      </w:r>
      <w:r w:rsidR="0082467B">
        <w:t xml:space="preserve"> farmers from applying manure to frozen field</w:t>
      </w:r>
      <w:r w:rsidR="00422E3F">
        <w:t>s</w:t>
      </w:r>
      <w:r w:rsidR="0082467B">
        <w:t xml:space="preserve"> and requiring farmers to obtain certification on managing runoff. </w:t>
      </w:r>
      <w:r w:rsidR="00597F1B">
        <w:t>Third, t</w:t>
      </w:r>
      <w:r w:rsidR="0082467B">
        <w:t xml:space="preserve">he state established a voluntary certification program for farmers who want to implement conservation methods </w:t>
      </w:r>
      <w:r w:rsidR="00597F1B">
        <w:t>to reduce phosphorus runoff</w:t>
      </w:r>
      <w:r w:rsidR="0082467B">
        <w:t xml:space="preserve">. But under pressure from farm lobbying groups, the state stopped short of passing regulations over how farmers </w:t>
      </w:r>
      <w:r w:rsidR="009458C8">
        <w:t xml:space="preserve">must </w:t>
      </w:r>
      <w:r w:rsidR="0082467B">
        <w:t xml:space="preserve">operate </w:t>
      </w:r>
      <w:r w:rsidR="009458C8">
        <w:t xml:space="preserve">on their farms </w:t>
      </w:r>
      <w:r w:rsidR="0082467B">
        <w:t xml:space="preserve">or requirements to measure and lower amounts of phosphorus </w:t>
      </w:r>
      <w:r w:rsidR="00EB6B7F">
        <w:t>runoff</w:t>
      </w:r>
      <w:r w:rsidR="0082467B">
        <w:t xml:space="preserve"> from farms</w:t>
      </w:r>
      <w:r w:rsidR="00EB6B7F">
        <w:t xml:space="preserve"> (</w:t>
      </w:r>
      <w:proofErr w:type="spellStart"/>
      <w:r w:rsidR="00EB6B7F">
        <w:t>Arenschield</w:t>
      </w:r>
      <w:proofErr w:type="spellEnd"/>
      <w:r w:rsidR="00EB6B7F">
        <w:t>, 2016)</w:t>
      </w:r>
      <w:r w:rsidR="0082467B">
        <w:t xml:space="preserve">. </w:t>
      </w:r>
    </w:p>
    <w:p w:rsidR="000F0363" w:rsidRDefault="000F0363" w:rsidP="00597F1B">
      <w:pPr>
        <w:pStyle w:val="tnr12"/>
      </w:pPr>
    </w:p>
    <w:p w:rsidR="003F55A4" w:rsidRDefault="003A205F" w:rsidP="003F55A4">
      <w:pPr>
        <w:pStyle w:val="tnr12"/>
      </w:pPr>
      <w:r>
        <w:t>Since</w:t>
      </w:r>
      <w:r w:rsidR="009458C8" w:rsidRPr="00597F1B">
        <w:t xml:space="preserve"> the Tole</w:t>
      </w:r>
      <w:r>
        <w:t>do water crisis, it has become clear these</w:t>
      </w:r>
      <w:r w:rsidR="003F55A4">
        <w:t xml:space="preserve"> initial</w:t>
      </w:r>
      <w:r>
        <w:t xml:space="preserve"> policy changes a</w:t>
      </w:r>
      <w:r w:rsidR="009458C8" w:rsidRPr="00597F1B">
        <w:t xml:space="preserve">re not enough. Rather than a reduction in harmful algal blooms, Lake Erie saw </w:t>
      </w:r>
      <w:r w:rsidR="00EF1DE1" w:rsidRPr="00597F1B">
        <w:t>severe</w:t>
      </w:r>
      <w:r w:rsidR="009458C8" w:rsidRPr="00597F1B">
        <w:t xml:space="preserve"> algal blooms in 2015 and 2017, with another severe bloom forecast for 2019. </w:t>
      </w:r>
      <w:r w:rsidR="00E0315A">
        <w:t xml:space="preserve">Many </w:t>
      </w:r>
      <w:r w:rsidR="009754B7" w:rsidRPr="00597F1B">
        <w:t xml:space="preserve">agricultural fields </w:t>
      </w:r>
      <w:r w:rsidR="00E0315A">
        <w:t xml:space="preserve">in the Maumee watershed </w:t>
      </w:r>
      <w:r w:rsidR="009754B7" w:rsidRPr="00597F1B">
        <w:t xml:space="preserve">have phosphorus runoff levels </w:t>
      </w:r>
      <w:r w:rsidR="00CF0362">
        <w:t xml:space="preserve">far </w:t>
      </w:r>
      <w:r w:rsidR="009754B7" w:rsidRPr="00597F1B">
        <w:t xml:space="preserve">above </w:t>
      </w:r>
      <w:r w:rsidR="00EF1DE1" w:rsidRPr="00597F1B">
        <w:t>the target recommended by Annex 4 of the Great Lakes Water Quality Agreement</w:t>
      </w:r>
      <w:r w:rsidR="00E0315A">
        <w:t xml:space="preserve"> (King et al, 2018)</w:t>
      </w:r>
      <w:r w:rsidR="00EF1DE1" w:rsidRPr="00597F1B">
        <w:t>.</w:t>
      </w:r>
      <w:r w:rsidR="003F55A4">
        <w:t xml:space="preserve"> </w:t>
      </w:r>
      <w:r w:rsidR="00774524">
        <w:t xml:space="preserve">Thus, it is important to identify next steps when focusing events do not lead to the policy change needed to solve the problem. </w:t>
      </w:r>
      <w:r w:rsidR="00B07A2E">
        <w:t>Will stakeholders in the</w:t>
      </w:r>
      <w:r w:rsidR="008670A7">
        <w:t xml:space="preserve"> Maumee watershed</w:t>
      </w:r>
      <w:r w:rsidR="00B07A2E">
        <w:t xml:space="preserve"> </w:t>
      </w:r>
      <w:r w:rsidR="007E2561">
        <w:t>make additional change because they see the problem has not been solved</w:t>
      </w:r>
      <w:r w:rsidR="00B07A2E">
        <w:t xml:space="preserve">, or will </w:t>
      </w:r>
      <w:r w:rsidR="0044689D">
        <w:t xml:space="preserve">mandates </w:t>
      </w:r>
      <w:r w:rsidR="00E0315A">
        <w:t>– possibly as the result of another crisis -- be required</w:t>
      </w:r>
      <w:r w:rsidR="00B07A2E">
        <w:t>?</w:t>
      </w:r>
      <w:r w:rsidR="003F55A4">
        <w:br w:type="page"/>
      </w:r>
    </w:p>
    <w:p w:rsidR="00CB70E2" w:rsidRDefault="0092740D" w:rsidP="0087116E">
      <w:pPr>
        <w:pStyle w:val="tnr12"/>
      </w:pPr>
      <w:r>
        <w:lastRenderedPageBreak/>
        <w:t>I</w:t>
      </w:r>
      <w:r w:rsidR="00774524">
        <w:t xml:space="preserve"> </w:t>
      </w:r>
      <w:r w:rsidR="00CF0362">
        <w:t>will</w:t>
      </w:r>
      <w:r w:rsidR="00774524">
        <w:t xml:space="preserve"> study </w:t>
      </w:r>
      <w:r w:rsidR="00422E3F">
        <w:t>this question</w:t>
      </w:r>
      <w:r w:rsidR="00774524">
        <w:t xml:space="preserve"> in the case of the Toledo water crisis by examining two scenari</w:t>
      </w:r>
      <w:r w:rsidR="00422E3F">
        <w:t>os for additional policy action</w:t>
      </w:r>
      <w:r w:rsidR="00774524">
        <w:t xml:space="preserve"> – voluntary action vs</w:t>
      </w:r>
      <w:r w:rsidR="0044689D">
        <w:t>.</w:t>
      </w:r>
      <w:r w:rsidR="00774524">
        <w:t xml:space="preserve"> mandatory requirements. In Scenario 1 of voluntary action, farmers receive state assistance to install Best Management Practices </w:t>
      </w:r>
      <w:r w:rsidR="00CF0362">
        <w:t xml:space="preserve">(BMPs) </w:t>
      </w:r>
      <w:r w:rsidR="001B5C8E">
        <w:t>that</w:t>
      </w:r>
      <w:r w:rsidR="00774524">
        <w:t xml:space="preserve"> lower phosphorus runoff</w:t>
      </w:r>
      <w:r w:rsidR="000F0363">
        <w:t xml:space="preserve"> from their farms</w:t>
      </w:r>
      <w:r w:rsidR="001B5C8E">
        <w:t xml:space="preserve">, </w:t>
      </w:r>
      <w:r w:rsidR="001B5C8E" w:rsidRPr="00597F1B">
        <w:t xml:space="preserve">including cover crops, riparian forest buffers, wetland restoration, </w:t>
      </w:r>
      <w:r w:rsidR="00597F1B">
        <w:t>subsurfa</w:t>
      </w:r>
      <w:r w:rsidR="00CF0362">
        <w:t>ce fertilizer application, and</w:t>
      </w:r>
      <w:r w:rsidR="00597F1B">
        <w:t xml:space="preserve"> phosphorus filter</w:t>
      </w:r>
      <w:r w:rsidR="00CF0362">
        <w:t>s</w:t>
      </w:r>
      <w:r w:rsidR="001B5C8E" w:rsidRPr="00597F1B">
        <w:t>.</w:t>
      </w:r>
      <w:r w:rsidR="001B5C8E">
        <w:t xml:space="preserve"> They are incentivized but not required to install </w:t>
      </w:r>
      <w:r w:rsidR="00597F1B">
        <w:t xml:space="preserve">one or more </w:t>
      </w:r>
      <w:r w:rsidR="001B5C8E">
        <w:t>these systems. In Scenario 2, the state sets up a licensing and inspection system</w:t>
      </w:r>
      <w:r w:rsidR="00EB3BA4">
        <w:t xml:space="preserve"> for farm fields in the Maumee w</w:t>
      </w:r>
      <w:r w:rsidR="001B5C8E">
        <w:t>atershed. Farmers still get state assistance to install BMPs, but must do so in order to get a license to farm</w:t>
      </w:r>
      <w:r w:rsidR="001B4A1E">
        <w:t xml:space="preserve">. </w:t>
      </w:r>
    </w:p>
    <w:p w:rsidR="00CB70E2" w:rsidRDefault="00CB70E2" w:rsidP="003A1819">
      <w:pPr>
        <w:pStyle w:val="tnr12"/>
      </w:pPr>
    </w:p>
    <w:p w:rsidR="00CF0362" w:rsidRDefault="00632956" w:rsidP="0087116E">
      <w:pPr>
        <w:pStyle w:val="tnr12"/>
      </w:pPr>
      <w:r>
        <w:t xml:space="preserve">These scenarios will be tested in </w:t>
      </w:r>
      <w:r w:rsidR="00567BBD">
        <w:t>three</w:t>
      </w:r>
      <w:r w:rsidR="00843CAE">
        <w:t xml:space="preserve"> </w:t>
      </w:r>
      <w:r w:rsidR="00CF0362">
        <w:t>steps:</w:t>
      </w:r>
    </w:p>
    <w:p w:rsidR="00CF0362" w:rsidRDefault="00CF0362" w:rsidP="00CF0362">
      <w:pPr>
        <w:pStyle w:val="tnr12"/>
        <w:numPr>
          <w:ilvl w:val="0"/>
          <w:numId w:val="2"/>
        </w:numPr>
      </w:pPr>
      <w:r>
        <w:t>A</w:t>
      </w:r>
      <w:r w:rsidR="00C874DC">
        <w:t xml:space="preserve"> survey of farmers will be conducted to assess how </w:t>
      </w:r>
      <w:r w:rsidR="00843CAE">
        <w:t>many would voluntarily install BMPs on their farms</w:t>
      </w:r>
      <w:r w:rsidR="0066385B">
        <w:t xml:space="preserve"> with state assistance, and if they would not, what the barriers to adoption are. </w:t>
      </w:r>
      <w:r w:rsidR="00907FB0">
        <w:t xml:space="preserve">The survey will also </w:t>
      </w:r>
      <w:r w:rsidR="00332824">
        <w:t>assess</w:t>
      </w:r>
      <w:r w:rsidR="00907FB0">
        <w:t xml:space="preserve"> their reactions to a mandatory licensing and inspection program. </w:t>
      </w:r>
      <w:r w:rsidR="0066385B">
        <w:t>This sur</w:t>
      </w:r>
      <w:r w:rsidR="003864F2">
        <w:t xml:space="preserve">vey will be supplemented with three sets of </w:t>
      </w:r>
      <w:r w:rsidR="0066385B">
        <w:t xml:space="preserve">focus groups to gather </w:t>
      </w:r>
      <w:r w:rsidR="00D86E5F">
        <w:t>in-depth information</w:t>
      </w:r>
      <w:r w:rsidR="0066385B">
        <w:t xml:space="preserve"> </w:t>
      </w:r>
      <w:r w:rsidR="003864F2">
        <w:t xml:space="preserve">from a) </w:t>
      </w:r>
      <w:r w:rsidR="0066385B">
        <w:t xml:space="preserve">farmers </w:t>
      </w:r>
      <w:r w:rsidR="000F0363">
        <w:t>whose farms have high phosphorus runoff</w:t>
      </w:r>
      <w:r w:rsidR="0066385B">
        <w:t xml:space="preserve">, </w:t>
      </w:r>
      <w:r w:rsidR="003864F2">
        <w:t>b) agriculture organizations</w:t>
      </w:r>
      <w:r w:rsidR="00D86E5F">
        <w:t>,</w:t>
      </w:r>
      <w:r>
        <w:t xml:space="preserve"> </w:t>
      </w:r>
      <w:r w:rsidR="003864F2">
        <w:t xml:space="preserve">and c) </w:t>
      </w:r>
      <w:r>
        <w:t>and policy makers.</w:t>
      </w:r>
    </w:p>
    <w:p w:rsidR="00CF0362" w:rsidRDefault="0066385B" w:rsidP="00CF0362">
      <w:pPr>
        <w:pStyle w:val="tnr12"/>
        <w:numPr>
          <w:ilvl w:val="0"/>
          <w:numId w:val="2"/>
        </w:numPr>
      </w:pPr>
      <w:r>
        <w:t xml:space="preserve">Based on the results of the survey and focus groups, scenarios for voluntary and mandatory policies will be </w:t>
      </w:r>
      <w:r w:rsidR="00656DCF">
        <w:t xml:space="preserve">will be entered into </w:t>
      </w:r>
      <w:r w:rsidR="003A1819">
        <w:t>a watershed model</w:t>
      </w:r>
      <w:r w:rsidR="00656DCF">
        <w:t xml:space="preserve"> to see how much </w:t>
      </w:r>
      <w:r w:rsidR="00567BBD">
        <w:t>these scenarios</w:t>
      </w:r>
      <w:r w:rsidR="00656DCF">
        <w:t xml:space="preserve"> lower the amount of phosphorus runoff from farms</w:t>
      </w:r>
      <w:r w:rsidR="004040CE">
        <w:t>, and if that</w:t>
      </w:r>
      <w:r w:rsidR="00656DCF">
        <w:t xml:space="preserve"> is enough to reach </w:t>
      </w:r>
      <w:r w:rsidR="004040CE">
        <w:t xml:space="preserve">a </w:t>
      </w:r>
      <w:r w:rsidR="00656DCF">
        <w:t>40% reduc</w:t>
      </w:r>
      <w:r w:rsidR="00CF0362">
        <w:t>tion by 2025.</w:t>
      </w:r>
    </w:p>
    <w:p w:rsidR="001B5C8E" w:rsidRDefault="00CF0362" w:rsidP="00CF0362">
      <w:pPr>
        <w:pStyle w:val="tnr12"/>
        <w:numPr>
          <w:ilvl w:val="0"/>
          <w:numId w:val="2"/>
        </w:numPr>
      </w:pPr>
      <w:r>
        <w:t>The costs</w:t>
      </w:r>
      <w:r w:rsidR="00656DCF">
        <w:t xml:space="preserve"> of both scenarios will be calculated. Scenario 1 involves sending state </w:t>
      </w:r>
      <w:r w:rsidR="00D86E5F">
        <w:t>agents</w:t>
      </w:r>
      <w:r w:rsidR="00656DCF">
        <w:t xml:space="preserve"> to farms and paying for BMP installations. Scenario 2 involves the same </w:t>
      </w:r>
      <w:r w:rsidR="007F2995">
        <w:t>expenses</w:t>
      </w:r>
      <w:r w:rsidR="00D86E5F">
        <w:t xml:space="preserve"> for installing BMP systems</w:t>
      </w:r>
      <w:r w:rsidR="00656DCF">
        <w:t xml:space="preserve">, with the additional </w:t>
      </w:r>
      <w:r w:rsidR="007C41AE">
        <w:t>expense</w:t>
      </w:r>
      <w:r w:rsidR="00656DCF">
        <w:t xml:space="preserve"> of </w:t>
      </w:r>
      <w:r w:rsidR="007F2995">
        <w:t xml:space="preserve">setting up </w:t>
      </w:r>
      <w:r w:rsidR="004040CE">
        <w:t>a</w:t>
      </w:r>
      <w:r w:rsidR="007C41AE">
        <w:t xml:space="preserve"> state</w:t>
      </w:r>
      <w:r w:rsidR="004040CE">
        <w:t xml:space="preserve"> licensing </w:t>
      </w:r>
      <w:r w:rsidR="00E15C6F">
        <w:t xml:space="preserve">and inspection </w:t>
      </w:r>
      <w:r w:rsidR="00B47D19">
        <w:t>system.</w:t>
      </w:r>
    </w:p>
    <w:p w:rsidR="00656DCF" w:rsidRDefault="00656DCF" w:rsidP="0087116E">
      <w:pPr>
        <w:pStyle w:val="tnr12"/>
      </w:pPr>
    </w:p>
    <w:p w:rsidR="000F0363" w:rsidRDefault="006A5BA4" w:rsidP="00567BBD">
      <w:pPr>
        <w:pStyle w:val="tnr12"/>
      </w:pPr>
      <w:r>
        <w:t xml:space="preserve">The </w:t>
      </w:r>
      <w:r w:rsidRPr="003F55A4">
        <w:rPr>
          <w:i/>
        </w:rPr>
        <w:t>hypotheses</w:t>
      </w:r>
      <w:r>
        <w:t xml:space="preserve"> for t</w:t>
      </w:r>
      <w:r w:rsidR="000F0363">
        <w:t>his study are:</w:t>
      </w:r>
    </w:p>
    <w:p w:rsidR="000F0363" w:rsidRDefault="003F55A4" w:rsidP="000F0363">
      <w:pPr>
        <w:pStyle w:val="tnr12"/>
        <w:numPr>
          <w:ilvl w:val="0"/>
          <w:numId w:val="3"/>
        </w:numPr>
      </w:pPr>
      <w:r>
        <w:t>Although stakeholders are</w:t>
      </w:r>
      <w:r w:rsidR="00F15FE7">
        <w:t xml:space="preserve"> more aware of the problems with harmful algal blooms as a result of the Toledo water crisis, they </w:t>
      </w:r>
      <w:r>
        <w:t xml:space="preserve">will </w:t>
      </w:r>
      <w:r w:rsidR="007E4036">
        <w:t xml:space="preserve">still </w:t>
      </w:r>
      <w:r w:rsidR="00F15FE7">
        <w:t>prefer voluntary action</w:t>
      </w:r>
      <w:r w:rsidR="000F0363">
        <w:t>.</w:t>
      </w:r>
    </w:p>
    <w:p w:rsidR="000F0363" w:rsidRDefault="0044689D" w:rsidP="000F0363">
      <w:pPr>
        <w:pStyle w:val="tnr12"/>
        <w:numPr>
          <w:ilvl w:val="0"/>
          <w:numId w:val="3"/>
        </w:numPr>
      </w:pPr>
      <w:r>
        <w:t>Voluntary action will not be enough to lower phosphorus runoff by 40% by 2025. M</w:t>
      </w:r>
      <w:r w:rsidR="001F5626">
        <w:t>andatory</w:t>
      </w:r>
      <w:r w:rsidR="00F15FE7">
        <w:t xml:space="preserve"> </w:t>
      </w:r>
      <w:r w:rsidR="006A5BA4">
        <w:t xml:space="preserve">programs </w:t>
      </w:r>
      <w:r w:rsidR="001F5626">
        <w:t>will be necessary.</w:t>
      </w:r>
    </w:p>
    <w:p w:rsidR="000F0363" w:rsidRDefault="006A5BA4" w:rsidP="000F0363">
      <w:pPr>
        <w:pStyle w:val="tnr12"/>
        <w:numPr>
          <w:ilvl w:val="0"/>
          <w:numId w:val="3"/>
        </w:numPr>
      </w:pPr>
      <w:r>
        <w:t>Mandatory programs will cost more than voluntary measures</w:t>
      </w:r>
      <w:r w:rsidR="000F0363">
        <w:t>.</w:t>
      </w:r>
    </w:p>
    <w:p w:rsidR="000F0363" w:rsidRDefault="000F0363" w:rsidP="000F0363">
      <w:pPr>
        <w:pStyle w:val="tnr12"/>
      </w:pPr>
    </w:p>
    <w:p w:rsidR="00332824" w:rsidRDefault="00332824" w:rsidP="000F0363">
      <w:pPr>
        <w:pStyle w:val="tnr12"/>
      </w:pPr>
      <w:r>
        <w:t>Figure 1 (next page) describes this project, outlining both the current state of knowledge about how focusing events lead to creation of public policy, as well as the gap in knowledge about what happens if the initial policy does not solve the problem. At that point policy makers have the choice of allowing stakeholders to make additional change to address the issue voluntarily or enacting mandatory requirements for change. While stakeholders may prefer voluntary change, if that is not enough to solve the problem, then they risk the occurr</w:t>
      </w:r>
      <w:r w:rsidR="004B7787">
        <w:t>ence of another focusing event that would likely lead to mandatory changes anyway.</w:t>
      </w:r>
    </w:p>
    <w:p w:rsidR="00332824" w:rsidRDefault="00332824" w:rsidP="000F0363">
      <w:pPr>
        <w:pStyle w:val="tnr12"/>
      </w:pPr>
    </w:p>
    <w:p w:rsidR="0092740D" w:rsidRDefault="0092740D" w:rsidP="000F0363">
      <w:pPr>
        <w:pStyle w:val="tnr12"/>
      </w:pPr>
      <w:r>
        <w:t>As someone who holds dual master’s degrees in public administration and environment and natural resources, I am well suited to do this research. I have an understanding of both the policy process as well as environmental issues such as toxic algae blooms, and am in a position to apply research in one to solve problems in the other.</w:t>
      </w:r>
    </w:p>
    <w:p w:rsidR="0092740D" w:rsidRDefault="0092740D" w:rsidP="000F0363">
      <w:pPr>
        <w:pStyle w:val="tnr12"/>
      </w:pPr>
    </w:p>
    <w:p w:rsidR="003F3CF5" w:rsidRDefault="003F55A4" w:rsidP="000F0363">
      <w:pPr>
        <w:pStyle w:val="tnr12"/>
      </w:pPr>
      <w:r>
        <w:t xml:space="preserve">The </w:t>
      </w:r>
      <w:r w:rsidRPr="003F55A4">
        <w:rPr>
          <w:i/>
        </w:rPr>
        <w:t>aim</w:t>
      </w:r>
      <w:r>
        <w:rPr>
          <w:i/>
        </w:rPr>
        <w:t>s</w:t>
      </w:r>
      <w:r>
        <w:t xml:space="preserve"> of this study are to determine whether voluntary adoption of best management practices by farmers will be enough to reach the goal of lowering phosphorus runoff in the Maumee watershed 40% by 2025, or if mandatory programs will be necessary, and to determine how much voluntary and mandatory programs cost. </w:t>
      </w:r>
    </w:p>
    <w:p w:rsidR="003F3CF5" w:rsidRDefault="003F3CF5" w:rsidP="000F0363">
      <w:pPr>
        <w:pStyle w:val="tnr12"/>
      </w:pPr>
    </w:p>
    <w:p w:rsidR="00CF0362" w:rsidRDefault="00D61999" w:rsidP="000F0363">
      <w:pPr>
        <w:pStyle w:val="tnr12"/>
      </w:pPr>
      <w:r>
        <w:t xml:space="preserve">Addressing our gaps in knowledge about policy change in the wake of focusing events </w:t>
      </w:r>
      <w:r w:rsidR="003F55A4">
        <w:t xml:space="preserve">will </w:t>
      </w:r>
      <w:r w:rsidR="0082230E">
        <w:t xml:space="preserve">provide a roadmap </w:t>
      </w:r>
      <w:r>
        <w:t xml:space="preserve">not just </w:t>
      </w:r>
      <w:r w:rsidR="003F55A4">
        <w:t xml:space="preserve">for </w:t>
      </w:r>
      <w:r w:rsidR="00521F42">
        <w:t>dealing with</w:t>
      </w:r>
      <w:r w:rsidR="003F55A4">
        <w:t xml:space="preserve"> harmful algal blooms in Lake Erie, but </w:t>
      </w:r>
      <w:r>
        <w:t>also</w:t>
      </w:r>
      <w:r w:rsidR="0082230E">
        <w:t xml:space="preserve"> </w:t>
      </w:r>
      <w:r w:rsidR="00873206">
        <w:t xml:space="preserve">for </w:t>
      </w:r>
      <w:r w:rsidR="0082230E">
        <w:t xml:space="preserve">the long-term </w:t>
      </w:r>
      <w:r w:rsidR="002C0D41">
        <w:t>outlook after</w:t>
      </w:r>
      <w:r w:rsidR="0082230E">
        <w:t xml:space="preserve"> </w:t>
      </w:r>
      <w:r w:rsidR="003F55A4">
        <w:t xml:space="preserve">any </w:t>
      </w:r>
      <w:r w:rsidR="0082230E">
        <w:t xml:space="preserve">focusing event, especially those </w:t>
      </w:r>
      <w:r>
        <w:t xml:space="preserve">in which </w:t>
      </w:r>
      <w:r w:rsidR="00873206">
        <w:t xml:space="preserve">the </w:t>
      </w:r>
      <w:r>
        <w:t>initial</w:t>
      </w:r>
      <w:r w:rsidR="0082230E">
        <w:t xml:space="preserve"> po</w:t>
      </w:r>
      <w:r>
        <w:t>licy change does</w:t>
      </w:r>
      <w:r w:rsidR="0082230E">
        <w:t xml:space="preserve"> not solve the </w:t>
      </w:r>
      <w:r w:rsidR="00873206">
        <w:t xml:space="preserve">underlying </w:t>
      </w:r>
      <w:r w:rsidR="0082230E">
        <w:t xml:space="preserve">problem. </w:t>
      </w:r>
      <w:r w:rsidR="00A105CF">
        <w:t xml:space="preserve">Such a roadmap </w:t>
      </w:r>
      <w:r w:rsidR="00EE007D">
        <w:t xml:space="preserve">currently </w:t>
      </w:r>
      <w:r w:rsidR="00A105CF">
        <w:t xml:space="preserve">does not exist, but would help policy-makers, stakeholders, and advocacy groups understand the </w:t>
      </w:r>
      <w:r w:rsidR="002C0D41">
        <w:t>dynamics</w:t>
      </w:r>
      <w:r w:rsidR="00A105CF">
        <w:t xml:space="preserve"> for </w:t>
      </w:r>
      <w:r w:rsidR="00521F42">
        <w:t>addressing</w:t>
      </w:r>
      <w:r w:rsidR="00A105CF">
        <w:t xml:space="preserve"> major societal </w:t>
      </w:r>
      <w:r w:rsidR="00521F42">
        <w:t>issues</w:t>
      </w:r>
      <w:r w:rsidR="007F2995">
        <w:t xml:space="preserve">, </w:t>
      </w:r>
      <w:r w:rsidR="004040CE">
        <w:t xml:space="preserve">as well as </w:t>
      </w:r>
      <w:r w:rsidR="007F2995">
        <w:t xml:space="preserve">how </w:t>
      </w:r>
      <w:r w:rsidR="004040CE">
        <w:t xml:space="preserve">to pass </w:t>
      </w:r>
      <w:r w:rsidR="007F2995">
        <w:t>effective po</w:t>
      </w:r>
      <w:r w:rsidR="00873206">
        <w:t>licies</w:t>
      </w:r>
      <w:r w:rsidR="007F2995">
        <w:t xml:space="preserve"> and what </w:t>
      </w:r>
      <w:r w:rsidR="004040CE">
        <w:t>these policies</w:t>
      </w:r>
      <w:r w:rsidR="007F2995">
        <w:t xml:space="preserve"> cost. </w:t>
      </w:r>
      <w:r w:rsidR="004040CE">
        <w:t xml:space="preserve">Results from the Toledo water crisis case </w:t>
      </w:r>
      <w:r w:rsidR="00EE007D">
        <w:t>could</w:t>
      </w:r>
      <w:r w:rsidR="004040CE">
        <w:t xml:space="preserve"> be applied to </w:t>
      </w:r>
      <w:r w:rsidR="002C0D41">
        <w:t>many</w:t>
      </w:r>
      <w:r w:rsidR="004040CE">
        <w:t xml:space="preserve"> other</w:t>
      </w:r>
      <w:r>
        <w:t xml:space="preserve"> cases</w:t>
      </w:r>
      <w:r w:rsidR="004040CE">
        <w:t xml:space="preserve">, providing </w:t>
      </w:r>
      <w:r w:rsidR="002F5886">
        <w:t>a much-</w:t>
      </w:r>
      <w:r w:rsidR="00EE007D">
        <w:t xml:space="preserve">needed </w:t>
      </w:r>
      <w:r w:rsidR="002F5886">
        <w:t>path</w:t>
      </w:r>
      <w:r w:rsidR="00EE007D">
        <w:t xml:space="preserve"> forward </w:t>
      </w:r>
      <w:r w:rsidR="002F5886">
        <w:t xml:space="preserve">in </w:t>
      </w:r>
      <w:r w:rsidR="00873206">
        <w:t xml:space="preserve">creating policy </w:t>
      </w:r>
      <w:r w:rsidR="00907FB0">
        <w:t>robust enough</w:t>
      </w:r>
      <w:r w:rsidR="00873206">
        <w:t xml:space="preserve"> to solve </w:t>
      </w:r>
      <w:r w:rsidR="00EE007D">
        <w:t>the world’s toughest problems</w:t>
      </w:r>
      <w:r w:rsidR="00D523B6">
        <w:t>.</w:t>
      </w:r>
      <w:r>
        <w:t xml:space="preserve"> </w:t>
      </w:r>
    </w:p>
    <w:p w:rsidR="000B1689" w:rsidRDefault="000B1689" w:rsidP="00567BBD">
      <w:pPr>
        <w:pStyle w:val="tnr12"/>
      </w:pPr>
    </w:p>
    <w:p w:rsidR="000B1689" w:rsidRDefault="000B1689" w:rsidP="00567BBD">
      <w:pPr>
        <w:pStyle w:val="tnr12"/>
        <w:sectPr w:rsidR="000B1689" w:rsidSect="004040CE">
          <w:headerReference w:type="default" r:id="rId7"/>
          <w:pgSz w:w="12240" w:h="15840"/>
          <w:pgMar w:top="720" w:right="720" w:bottom="720" w:left="720" w:header="720" w:footer="720" w:gutter="0"/>
          <w:cols w:space="720"/>
          <w:docGrid w:linePitch="360"/>
        </w:sectPr>
      </w:pPr>
    </w:p>
    <w:p w:rsidR="000B1689" w:rsidRDefault="00213F94" w:rsidP="00567BBD">
      <w:pPr>
        <w:pStyle w:val="tnr12"/>
      </w:pPr>
      <w:r>
        <w:rPr>
          <w:noProof/>
        </w:rPr>
        <w:lastRenderedPageBreak/>
        <w:drawing>
          <wp:inline distT="0" distB="0" distL="0" distR="0">
            <wp:extent cx="9144000" cy="5468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cusing events graphic2.png"/>
                    <pic:cNvPicPr/>
                  </pic:nvPicPr>
                  <pic:blipFill>
                    <a:blip r:embed="rId8">
                      <a:extLst>
                        <a:ext uri="{28A0092B-C50C-407E-A947-70E740481C1C}">
                          <a14:useLocalDpi xmlns:a14="http://schemas.microsoft.com/office/drawing/2010/main" val="0"/>
                        </a:ext>
                      </a:extLst>
                    </a:blip>
                    <a:stretch>
                      <a:fillRect/>
                    </a:stretch>
                  </pic:blipFill>
                  <pic:spPr>
                    <a:xfrm>
                      <a:off x="0" y="0"/>
                      <a:ext cx="9144000" cy="5468620"/>
                    </a:xfrm>
                    <a:prstGeom prst="rect">
                      <a:avLst/>
                    </a:prstGeom>
                  </pic:spPr>
                </pic:pic>
              </a:graphicData>
            </a:graphic>
          </wp:inline>
        </w:drawing>
      </w:r>
    </w:p>
    <w:p w:rsidR="000B1689" w:rsidRDefault="000B1689" w:rsidP="00567BBD">
      <w:pPr>
        <w:pStyle w:val="tnr12"/>
      </w:pPr>
    </w:p>
    <w:p w:rsidR="000B1689" w:rsidRDefault="000B1689" w:rsidP="00567BBD">
      <w:pPr>
        <w:pStyle w:val="tnr12"/>
        <w:sectPr w:rsidR="000B1689" w:rsidSect="000B1689">
          <w:pgSz w:w="15840" w:h="12240" w:orient="landscape"/>
          <w:pgMar w:top="1440" w:right="720" w:bottom="720" w:left="720" w:header="720" w:footer="720" w:gutter="0"/>
          <w:cols w:space="720"/>
          <w:docGrid w:linePitch="360"/>
        </w:sectPr>
      </w:pPr>
    </w:p>
    <w:p w:rsidR="0098259F" w:rsidRPr="0098259F" w:rsidRDefault="0098259F" w:rsidP="00C5180D">
      <w:pPr>
        <w:spacing w:after="0" w:line="240" w:lineRule="auto"/>
        <w:rPr>
          <w:rFonts w:ascii="Times New Roman" w:hAnsi="Times New Roman" w:cs="Times New Roman"/>
          <w:b/>
          <w:sz w:val="24"/>
          <w:szCs w:val="24"/>
        </w:rPr>
      </w:pPr>
      <w:r w:rsidRPr="0098259F">
        <w:rPr>
          <w:rFonts w:ascii="Times New Roman" w:hAnsi="Times New Roman" w:cs="Times New Roman"/>
          <w:b/>
          <w:sz w:val="24"/>
          <w:szCs w:val="24"/>
        </w:rPr>
        <w:lastRenderedPageBreak/>
        <w:t>REFERENCES</w:t>
      </w:r>
    </w:p>
    <w:p w:rsidR="0098259F" w:rsidRDefault="0098259F" w:rsidP="00C5180D">
      <w:pPr>
        <w:spacing w:after="0" w:line="240" w:lineRule="auto"/>
        <w:rPr>
          <w:rFonts w:ascii="Times New Roman" w:hAnsi="Times New Roman" w:cs="Times New Roman"/>
          <w:sz w:val="24"/>
          <w:szCs w:val="24"/>
        </w:rPr>
      </w:pPr>
    </w:p>
    <w:p w:rsidR="00EB6B7F" w:rsidRDefault="00EB6B7F" w:rsidP="00C5180D">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Arenschield</w:t>
      </w:r>
      <w:proofErr w:type="spellEnd"/>
      <w:r>
        <w:rPr>
          <w:rFonts w:ascii="Times New Roman" w:hAnsi="Times New Roman" w:cs="Times New Roman"/>
          <w:sz w:val="24"/>
          <w:szCs w:val="24"/>
        </w:rPr>
        <w:t xml:space="preserve">, Laura. (May 26, 2016). Ohio plan to restore Lake Erie won’t mandate farming changes. The Columbus Dispatch. Accessed at </w:t>
      </w:r>
      <w:r w:rsidRPr="001272D2">
        <w:rPr>
          <w:rFonts w:ascii="Times New Roman" w:hAnsi="Times New Roman" w:cs="Times New Roman"/>
          <w:sz w:val="24"/>
          <w:szCs w:val="24"/>
        </w:rPr>
        <w:t>https://web.archive.org/web/20160801131937/http:/www.dispatch.com/content/stories/local/2016/05/26/states-plan-to-restore-lake-erie-stops-short-of-mandating-farming-changes.html</w:t>
      </w:r>
      <w:r>
        <w:rPr>
          <w:rFonts w:ascii="Times New Roman" w:hAnsi="Times New Roman" w:cs="Times New Roman"/>
          <w:sz w:val="24"/>
          <w:szCs w:val="24"/>
        </w:rPr>
        <w:t xml:space="preserve"> </w:t>
      </w:r>
    </w:p>
    <w:p w:rsidR="00EB6B7F" w:rsidRDefault="00EB6B7F" w:rsidP="00C5180D">
      <w:pPr>
        <w:spacing w:after="0" w:line="240" w:lineRule="auto"/>
        <w:rPr>
          <w:rFonts w:ascii="Times New Roman" w:hAnsi="Times New Roman" w:cs="Times New Roman"/>
          <w:sz w:val="24"/>
          <w:szCs w:val="24"/>
        </w:rPr>
      </w:pPr>
    </w:p>
    <w:p w:rsidR="0098259F" w:rsidRDefault="0098259F" w:rsidP="00C518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Birkland, Thomas A. (1998). Focusing Events, Mobilization, and Agenda Setting. </w:t>
      </w:r>
      <w:r w:rsidRPr="00F377B2">
        <w:rPr>
          <w:rFonts w:ascii="Times New Roman" w:hAnsi="Times New Roman" w:cs="Times New Roman"/>
          <w:i/>
          <w:sz w:val="24"/>
          <w:szCs w:val="24"/>
        </w:rPr>
        <w:t>Journal of Public Policy</w:t>
      </w:r>
      <w:r>
        <w:rPr>
          <w:rFonts w:ascii="Times New Roman" w:hAnsi="Times New Roman" w:cs="Times New Roman"/>
          <w:sz w:val="24"/>
          <w:szCs w:val="24"/>
        </w:rPr>
        <w:t xml:space="preserve"> 18:1, 53-74.</w:t>
      </w:r>
    </w:p>
    <w:p w:rsidR="002802BE" w:rsidRDefault="002802BE" w:rsidP="00C5180D">
      <w:pPr>
        <w:spacing w:after="0" w:line="240" w:lineRule="auto"/>
        <w:rPr>
          <w:rFonts w:ascii="Times New Roman" w:hAnsi="Times New Roman" w:cs="Times New Roman"/>
          <w:sz w:val="24"/>
          <w:szCs w:val="24"/>
        </w:rPr>
      </w:pPr>
    </w:p>
    <w:p w:rsidR="002802BE" w:rsidRDefault="002802BE" w:rsidP="002802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Birkland, Thomas A., and Megan K. </w:t>
      </w:r>
      <w:proofErr w:type="spellStart"/>
      <w:r>
        <w:rPr>
          <w:rFonts w:ascii="Times New Roman" w:hAnsi="Times New Roman" w:cs="Times New Roman"/>
          <w:sz w:val="24"/>
          <w:szCs w:val="24"/>
        </w:rPr>
        <w:t>Warnement</w:t>
      </w:r>
      <w:proofErr w:type="spellEnd"/>
      <w:r>
        <w:rPr>
          <w:rFonts w:ascii="Times New Roman" w:hAnsi="Times New Roman" w:cs="Times New Roman"/>
          <w:sz w:val="24"/>
          <w:szCs w:val="24"/>
        </w:rPr>
        <w:t xml:space="preserve">. (2017). Focusing events, risk and regulation. </w:t>
      </w:r>
      <w:r w:rsidRPr="002802BE">
        <w:rPr>
          <w:rFonts w:ascii="Times New Roman" w:hAnsi="Times New Roman" w:cs="Times New Roman"/>
          <w:sz w:val="24"/>
          <w:szCs w:val="24"/>
        </w:rPr>
        <w:t xml:space="preserve">In </w:t>
      </w:r>
      <w:r w:rsidRPr="002802BE">
        <w:rPr>
          <w:rFonts w:ascii="Times New Roman" w:hAnsi="Times New Roman" w:cs="Times New Roman"/>
          <w:i/>
          <w:sz w:val="24"/>
          <w:szCs w:val="24"/>
        </w:rPr>
        <w:t>Policy Shock: Recalibrating Risk and Regulation after Oil Spills, Nuclear Accidents, and Financial Crises</w:t>
      </w:r>
      <w:r w:rsidRPr="002802BE">
        <w:rPr>
          <w:rFonts w:ascii="Times New Roman" w:hAnsi="Times New Roman" w:cs="Times New Roman"/>
          <w:sz w:val="24"/>
          <w:szCs w:val="24"/>
        </w:rPr>
        <w:t>, edited by</w:t>
      </w:r>
      <w:r>
        <w:rPr>
          <w:rFonts w:ascii="Times New Roman" w:hAnsi="Times New Roman" w:cs="Times New Roman"/>
          <w:sz w:val="24"/>
          <w:szCs w:val="24"/>
        </w:rPr>
        <w:t xml:space="preserve"> </w:t>
      </w:r>
      <w:r w:rsidRPr="002802BE">
        <w:rPr>
          <w:rFonts w:ascii="Times New Roman" w:hAnsi="Times New Roman" w:cs="Times New Roman"/>
          <w:sz w:val="24"/>
          <w:szCs w:val="24"/>
        </w:rPr>
        <w:t xml:space="preserve">Edward J </w:t>
      </w:r>
      <w:proofErr w:type="spellStart"/>
      <w:r w:rsidRPr="002802BE">
        <w:rPr>
          <w:rFonts w:ascii="Times New Roman" w:hAnsi="Times New Roman" w:cs="Times New Roman"/>
          <w:sz w:val="24"/>
          <w:szCs w:val="24"/>
        </w:rPr>
        <w:t>Balleisen</w:t>
      </w:r>
      <w:proofErr w:type="spellEnd"/>
      <w:r w:rsidRPr="002802BE">
        <w:rPr>
          <w:rFonts w:ascii="Times New Roman" w:hAnsi="Times New Roman" w:cs="Times New Roman"/>
          <w:sz w:val="24"/>
          <w:szCs w:val="24"/>
        </w:rPr>
        <w:t xml:space="preserve">, Lori S. </w:t>
      </w:r>
      <w:proofErr w:type="spellStart"/>
      <w:r w:rsidRPr="002802BE">
        <w:rPr>
          <w:rFonts w:ascii="Times New Roman" w:hAnsi="Times New Roman" w:cs="Times New Roman"/>
          <w:sz w:val="24"/>
          <w:szCs w:val="24"/>
        </w:rPr>
        <w:t>Bennear</w:t>
      </w:r>
      <w:proofErr w:type="spellEnd"/>
      <w:r w:rsidRPr="002802BE">
        <w:rPr>
          <w:rFonts w:ascii="Times New Roman" w:hAnsi="Times New Roman" w:cs="Times New Roman"/>
          <w:sz w:val="24"/>
          <w:szCs w:val="24"/>
        </w:rPr>
        <w:t xml:space="preserve">, Kimberly D. </w:t>
      </w:r>
      <w:proofErr w:type="spellStart"/>
      <w:r w:rsidRPr="002802BE">
        <w:rPr>
          <w:rFonts w:ascii="Times New Roman" w:hAnsi="Times New Roman" w:cs="Times New Roman"/>
          <w:sz w:val="24"/>
          <w:szCs w:val="24"/>
        </w:rPr>
        <w:t>Krawieck</w:t>
      </w:r>
      <w:proofErr w:type="spellEnd"/>
      <w:r w:rsidRPr="002802BE">
        <w:rPr>
          <w:rFonts w:ascii="Times New Roman" w:hAnsi="Times New Roman" w:cs="Times New Roman"/>
          <w:sz w:val="24"/>
          <w:szCs w:val="24"/>
        </w:rPr>
        <w:t>, and Johnathan B. Weiner. Cambridge University Press.</w:t>
      </w:r>
    </w:p>
    <w:p w:rsidR="0098259F" w:rsidRDefault="0098259F" w:rsidP="00C5180D">
      <w:pPr>
        <w:spacing w:after="0" w:line="240" w:lineRule="auto"/>
        <w:rPr>
          <w:rFonts w:ascii="Times New Roman" w:hAnsi="Times New Roman" w:cs="Times New Roman"/>
          <w:sz w:val="24"/>
          <w:szCs w:val="24"/>
        </w:rPr>
      </w:pPr>
    </w:p>
    <w:p w:rsidR="00344784" w:rsidRDefault="009C1363" w:rsidP="00C518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Bishop, Bradford H. (2014). </w:t>
      </w:r>
      <w:r w:rsidRPr="009C1363">
        <w:rPr>
          <w:rFonts w:ascii="Times New Roman" w:hAnsi="Times New Roman" w:cs="Times New Roman"/>
          <w:sz w:val="24"/>
          <w:szCs w:val="24"/>
        </w:rPr>
        <w:t>Focusing Events and Public Opinion: Evidence from the Deepwater Horizon Disaster</w:t>
      </w:r>
      <w:r w:rsidR="00F377B2">
        <w:rPr>
          <w:rFonts w:ascii="Times New Roman" w:hAnsi="Times New Roman" w:cs="Times New Roman"/>
          <w:sz w:val="24"/>
          <w:szCs w:val="24"/>
        </w:rPr>
        <w:t xml:space="preserve">. </w:t>
      </w:r>
      <w:r w:rsidR="00F377B2" w:rsidRPr="00F377B2">
        <w:rPr>
          <w:rFonts w:ascii="Times New Roman" w:hAnsi="Times New Roman" w:cs="Times New Roman"/>
          <w:i/>
          <w:sz w:val="24"/>
          <w:szCs w:val="24"/>
        </w:rPr>
        <w:t>Political Behavior</w:t>
      </w:r>
      <w:r>
        <w:rPr>
          <w:rFonts w:ascii="Times New Roman" w:hAnsi="Times New Roman" w:cs="Times New Roman"/>
          <w:sz w:val="24"/>
          <w:szCs w:val="24"/>
        </w:rPr>
        <w:t xml:space="preserve"> 36:1, 1-22.</w:t>
      </w:r>
    </w:p>
    <w:p w:rsidR="009C1363" w:rsidRDefault="009C1363" w:rsidP="00C5180D">
      <w:pPr>
        <w:spacing w:after="0" w:line="240" w:lineRule="auto"/>
        <w:rPr>
          <w:rFonts w:ascii="Times New Roman" w:hAnsi="Times New Roman" w:cs="Times New Roman"/>
          <w:sz w:val="24"/>
          <w:szCs w:val="24"/>
        </w:rPr>
      </w:pPr>
    </w:p>
    <w:p w:rsidR="009C1363" w:rsidRDefault="009C1363" w:rsidP="00C5180D">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DeLeo</w:t>
      </w:r>
      <w:proofErr w:type="spellEnd"/>
      <w:r>
        <w:rPr>
          <w:rFonts w:ascii="Times New Roman" w:hAnsi="Times New Roman" w:cs="Times New Roman"/>
          <w:sz w:val="24"/>
          <w:szCs w:val="24"/>
        </w:rPr>
        <w:t xml:space="preserve">, Rob A., (2012). </w:t>
      </w:r>
      <w:r w:rsidRPr="009C1363">
        <w:rPr>
          <w:rFonts w:ascii="Times New Roman" w:hAnsi="Times New Roman" w:cs="Times New Roman"/>
          <w:sz w:val="24"/>
          <w:szCs w:val="24"/>
        </w:rPr>
        <w:t>Anticipatory‐Conjectural Policy Problems: A Case Study of the Avian Influenza</w:t>
      </w:r>
      <w:r>
        <w:rPr>
          <w:rFonts w:ascii="Times New Roman" w:hAnsi="Times New Roman" w:cs="Times New Roman"/>
          <w:sz w:val="24"/>
          <w:szCs w:val="24"/>
        </w:rPr>
        <w:t xml:space="preserve">. </w:t>
      </w:r>
      <w:r w:rsidRPr="00F377B2">
        <w:rPr>
          <w:rFonts w:ascii="Times New Roman" w:hAnsi="Times New Roman" w:cs="Times New Roman"/>
          <w:i/>
          <w:sz w:val="24"/>
          <w:szCs w:val="24"/>
        </w:rPr>
        <w:t>Risk, hazard</w:t>
      </w:r>
      <w:r w:rsidR="0098259F" w:rsidRPr="00F377B2">
        <w:rPr>
          <w:rFonts w:ascii="Times New Roman" w:hAnsi="Times New Roman" w:cs="Times New Roman"/>
          <w:i/>
          <w:sz w:val="24"/>
          <w:szCs w:val="24"/>
        </w:rPr>
        <w:t>s, and Crisis in Public Policy</w:t>
      </w:r>
      <w:r w:rsidR="0098259F">
        <w:rPr>
          <w:rFonts w:ascii="Times New Roman" w:hAnsi="Times New Roman" w:cs="Times New Roman"/>
          <w:sz w:val="24"/>
          <w:szCs w:val="24"/>
        </w:rPr>
        <w:t xml:space="preserve"> 1:1, 147-184.</w:t>
      </w:r>
    </w:p>
    <w:p w:rsidR="0098259F" w:rsidRDefault="0098259F" w:rsidP="00C5180D">
      <w:pPr>
        <w:spacing w:after="0" w:line="240" w:lineRule="auto"/>
        <w:rPr>
          <w:rFonts w:ascii="Times New Roman" w:hAnsi="Times New Roman" w:cs="Times New Roman"/>
          <w:sz w:val="24"/>
          <w:szCs w:val="24"/>
        </w:rPr>
      </w:pPr>
    </w:p>
    <w:p w:rsidR="0098259F" w:rsidRDefault="0098259F" w:rsidP="00C518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Farley, Joshua, et al. (2007). </w:t>
      </w:r>
      <w:r w:rsidRPr="0098259F">
        <w:rPr>
          <w:rFonts w:ascii="Times New Roman" w:hAnsi="Times New Roman" w:cs="Times New Roman"/>
          <w:sz w:val="24"/>
          <w:szCs w:val="24"/>
        </w:rPr>
        <w:t>Opening the policy window for ecological economics: Katrina as a focusing event</w:t>
      </w:r>
      <w:r>
        <w:rPr>
          <w:rFonts w:ascii="Times New Roman" w:hAnsi="Times New Roman" w:cs="Times New Roman"/>
          <w:sz w:val="24"/>
          <w:szCs w:val="24"/>
        </w:rPr>
        <w:t xml:space="preserve">. </w:t>
      </w:r>
      <w:r w:rsidRPr="00F377B2">
        <w:rPr>
          <w:rFonts w:ascii="Times New Roman" w:hAnsi="Times New Roman" w:cs="Times New Roman"/>
          <w:i/>
          <w:sz w:val="24"/>
          <w:szCs w:val="24"/>
        </w:rPr>
        <w:t>Ecological Economics</w:t>
      </w:r>
      <w:r>
        <w:rPr>
          <w:rFonts w:ascii="Times New Roman" w:hAnsi="Times New Roman" w:cs="Times New Roman"/>
          <w:sz w:val="24"/>
          <w:szCs w:val="24"/>
        </w:rPr>
        <w:t xml:space="preserve"> 63:2-3, 344-354.</w:t>
      </w:r>
    </w:p>
    <w:p w:rsidR="009C1363" w:rsidRDefault="009C1363" w:rsidP="00C5180D">
      <w:pPr>
        <w:spacing w:after="0" w:line="240" w:lineRule="auto"/>
        <w:rPr>
          <w:rFonts w:ascii="Times New Roman" w:hAnsi="Times New Roman" w:cs="Times New Roman"/>
          <w:sz w:val="24"/>
          <w:szCs w:val="24"/>
        </w:rPr>
      </w:pPr>
    </w:p>
    <w:p w:rsidR="006B248C" w:rsidRPr="006B248C" w:rsidRDefault="006B248C" w:rsidP="006B248C">
      <w:pPr>
        <w:pStyle w:val="tnr12"/>
      </w:pPr>
      <w:r w:rsidRPr="006B248C">
        <w:t xml:space="preserve">King, Kevin, et al. (2018). Addressing agricultural phosphorus loss in artificially drained landscapes with 4R nutrient management practices. </w:t>
      </w:r>
      <w:r w:rsidRPr="006B248C">
        <w:rPr>
          <w:i/>
        </w:rPr>
        <w:t>Journal of Soil and Water Conservation</w:t>
      </w:r>
      <w:r>
        <w:t xml:space="preserve"> 73: 1, 35-47.</w:t>
      </w:r>
    </w:p>
    <w:p w:rsidR="006B248C" w:rsidRDefault="006B248C" w:rsidP="00C5180D">
      <w:pPr>
        <w:spacing w:after="0" w:line="240" w:lineRule="auto"/>
        <w:rPr>
          <w:rFonts w:ascii="Times New Roman" w:hAnsi="Times New Roman" w:cs="Times New Roman"/>
          <w:sz w:val="24"/>
          <w:szCs w:val="24"/>
        </w:rPr>
      </w:pPr>
    </w:p>
    <w:p w:rsidR="009C1363" w:rsidRDefault="002802BE" w:rsidP="00C5180D">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Kingdon</w:t>
      </w:r>
      <w:proofErr w:type="spellEnd"/>
      <w:r>
        <w:rPr>
          <w:rFonts w:ascii="Times New Roman" w:hAnsi="Times New Roman" w:cs="Times New Roman"/>
          <w:sz w:val="24"/>
          <w:szCs w:val="24"/>
        </w:rPr>
        <w:t xml:space="preserve">, John. </w:t>
      </w:r>
      <w:r w:rsidR="00EA45E0">
        <w:rPr>
          <w:rFonts w:ascii="Times New Roman" w:hAnsi="Times New Roman" w:cs="Times New Roman"/>
          <w:sz w:val="24"/>
          <w:szCs w:val="24"/>
        </w:rPr>
        <w:t xml:space="preserve">(2003). </w:t>
      </w:r>
      <w:r w:rsidR="00EA45E0" w:rsidRPr="00EA45E0">
        <w:rPr>
          <w:rFonts w:ascii="Times New Roman" w:hAnsi="Times New Roman" w:cs="Times New Roman"/>
          <w:i/>
          <w:sz w:val="24"/>
          <w:szCs w:val="24"/>
        </w:rPr>
        <w:t>Agendas, Alternatives, and Public Policies</w:t>
      </w:r>
      <w:r w:rsidR="00EA45E0">
        <w:rPr>
          <w:rFonts w:ascii="Times New Roman" w:hAnsi="Times New Roman" w:cs="Times New Roman"/>
          <w:sz w:val="24"/>
          <w:szCs w:val="24"/>
        </w:rPr>
        <w:t>, 2</w:t>
      </w:r>
      <w:r w:rsidR="00EA45E0" w:rsidRPr="00EA45E0">
        <w:rPr>
          <w:rFonts w:ascii="Times New Roman" w:hAnsi="Times New Roman" w:cs="Times New Roman"/>
          <w:sz w:val="24"/>
          <w:szCs w:val="24"/>
          <w:vertAlign w:val="superscript"/>
        </w:rPr>
        <w:t>nd</w:t>
      </w:r>
      <w:r w:rsidR="00EA45E0">
        <w:rPr>
          <w:rFonts w:ascii="Times New Roman" w:hAnsi="Times New Roman" w:cs="Times New Roman"/>
          <w:sz w:val="24"/>
          <w:szCs w:val="24"/>
        </w:rPr>
        <w:t xml:space="preserve"> ed. Longman Classics in Political Science. New York: Longman. </w:t>
      </w:r>
    </w:p>
    <w:p w:rsidR="009C1363" w:rsidRDefault="009C1363" w:rsidP="00C5180D">
      <w:pPr>
        <w:spacing w:after="0" w:line="240" w:lineRule="auto"/>
        <w:rPr>
          <w:rFonts w:ascii="Times New Roman" w:hAnsi="Times New Roman" w:cs="Times New Roman"/>
          <w:sz w:val="24"/>
          <w:szCs w:val="24"/>
        </w:rPr>
      </w:pPr>
    </w:p>
    <w:p w:rsidR="009C1363" w:rsidRDefault="00EC0E04" w:rsidP="00C5180D">
      <w:pPr>
        <w:spacing w:after="0" w:line="240" w:lineRule="auto"/>
        <w:rPr>
          <w:rFonts w:ascii="Times New Roman" w:hAnsi="Times New Roman" w:cs="Times New Roman"/>
          <w:sz w:val="24"/>
          <w:szCs w:val="24"/>
        </w:rPr>
      </w:pPr>
      <w:proofErr w:type="spellStart"/>
      <w:r w:rsidRPr="00EC0E04">
        <w:rPr>
          <w:rFonts w:ascii="Times New Roman" w:hAnsi="Times New Roman" w:cs="Times New Roman"/>
          <w:sz w:val="24"/>
          <w:szCs w:val="24"/>
        </w:rPr>
        <w:t>Scavia</w:t>
      </w:r>
      <w:proofErr w:type="spellEnd"/>
      <w:r w:rsidR="00C77DC1">
        <w:rPr>
          <w:rFonts w:ascii="Times New Roman" w:hAnsi="Times New Roman" w:cs="Times New Roman"/>
          <w:sz w:val="24"/>
          <w:szCs w:val="24"/>
        </w:rPr>
        <w:t>,</w:t>
      </w:r>
      <w:r w:rsidRPr="00EC0E04">
        <w:rPr>
          <w:rFonts w:ascii="Times New Roman" w:hAnsi="Times New Roman" w:cs="Times New Roman"/>
          <w:sz w:val="24"/>
          <w:szCs w:val="24"/>
        </w:rPr>
        <w:t xml:space="preserve"> D</w:t>
      </w:r>
      <w:r w:rsidR="00C77DC1">
        <w:rPr>
          <w:rFonts w:ascii="Times New Roman" w:hAnsi="Times New Roman" w:cs="Times New Roman"/>
          <w:sz w:val="24"/>
          <w:szCs w:val="24"/>
        </w:rPr>
        <w:t>onald</w:t>
      </w:r>
      <w:r w:rsidRPr="00EC0E04">
        <w:rPr>
          <w:rFonts w:ascii="Times New Roman" w:hAnsi="Times New Roman" w:cs="Times New Roman"/>
          <w:sz w:val="24"/>
          <w:szCs w:val="24"/>
        </w:rPr>
        <w:t xml:space="preserve">, </w:t>
      </w:r>
      <w:r w:rsidR="002D378F">
        <w:rPr>
          <w:rFonts w:ascii="Times New Roman" w:hAnsi="Times New Roman" w:cs="Times New Roman"/>
          <w:sz w:val="24"/>
          <w:szCs w:val="24"/>
        </w:rPr>
        <w:t xml:space="preserve">J.V. </w:t>
      </w:r>
      <w:proofErr w:type="spellStart"/>
      <w:r w:rsidRPr="00EC0E04">
        <w:rPr>
          <w:rFonts w:ascii="Times New Roman" w:hAnsi="Times New Roman" w:cs="Times New Roman"/>
          <w:sz w:val="24"/>
          <w:szCs w:val="24"/>
        </w:rPr>
        <w:t>DePinto</w:t>
      </w:r>
      <w:proofErr w:type="spellEnd"/>
      <w:r w:rsidRPr="00EC0E04">
        <w:rPr>
          <w:rFonts w:ascii="Times New Roman" w:hAnsi="Times New Roman" w:cs="Times New Roman"/>
          <w:sz w:val="24"/>
          <w:szCs w:val="24"/>
        </w:rPr>
        <w:t xml:space="preserve">, and </w:t>
      </w:r>
      <w:r w:rsidR="002D378F">
        <w:rPr>
          <w:rFonts w:ascii="Times New Roman" w:hAnsi="Times New Roman" w:cs="Times New Roman"/>
          <w:sz w:val="24"/>
          <w:szCs w:val="24"/>
        </w:rPr>
        <w:t xml:space="preserve">I. </w:t>
      </w:r>
      <w:proofErr w:type="spellStart"/>
      <w:r w:rsidRPr="00EC0E04">
        <w:rPr>
          <w:rFonts w:ascii="Times New Roman" w:hAnsi="Times New Roman" w:cs="Times New Roman"/>
          <w:sz w:val="24"/>
          <w:szCs w:val="24"/>
        </w:rPr>
        <w:t>Bertani</w:t>
      </w:r>
      <w:proofErr w:type="spellEnd"/>
      <w:r w:rsidRPr="00EC0E04">
        <w:rPr>
          <w:rFonts w:ascii="Times New Roman" w:hAnsi="Times New Roman" w:cs="Times New Roman"/>
          <w:sz w:val="24"/>
          <w:szCs w:val="24"/>
        </w:rPr>
        <w:t xml:space="preserve">. </w:t>
      </w:r>
      <w:r w:rsidR="00C77DC1">
        <w:rPr>
          <w:rFonts w:ascii="Times New Roman" w:hAnsi="Times New Roman" w:cs="Times New Roman"/>
          <w:sz w:val="24"/>
          <w:szCs w:val="24"/>
        </w:rPr>
        <w:t>(2016)</w:t>
      </w:r>
      <w:r w:rsidRPr="00EC0E04">
        <w:rPr>
          <w:rFonts w:ascii="Times New Roman" w:hAnsi="Times New Roman" w:cs="Times New Roman"/>
          <w:sz w:val="24"/>
          <w:szCs w:val="24"/>
        </w:rPr>
        <w:t xml:space="preserve">. A multi- model approach to evaluating target phosphorus loads for Lake Erie. </w:t>
      </w:r>
      <w:r w:rsidR="00C77DC1" w:rsidRPr="00F377B2">
        <w:rPr>
          <w:rFonts w:ascii="Times New Roman" w:hAnsi="Times New Roman" w:cs="Times New Roman"/>
          <w:i/>
          <w:sz w:val="24"/>
          <w:szCs w:val="24"/>
        </w:rPr>
        <w:t>Journal of Great Lakes Research</w:t>
      </w:r>
      <w:r w:rsidR="00C77DC1">
        <w:rPr>
          <w:rFonts w:ascii="Times New Roman" w:hAnsi="Times New Roman" w:cs="Times New Roman"/>
          <w:sz w:val="24"/>
          <w:szCs w:val="24"/>
        </w:rPr>
        <w:t xml:space="preserve"> 42:6, 1139-</w:t>
      </w:r>
      <w:r w:rsidRPr="00EC0E04">
        <w:rPr>
          <w:rFonts w:ascii="Times New Roman" w:hAnsi="Times New Roman" w:cs="Times New Roman"/>
          <w:sz w:val="24"/>
          <w:szCs w:val="24"/>
        </w:rPr>
        <w:t>50.</w:t>
      </w:r>
    </w:p>
    <w:p w:rsidR="009C1363" w:rsidRDefault="009C1363" w:rsidP="00C5180D">
      <w:pPr>
        <w:spacing w:after="0" w:line="240" w:lineRule="auto"/>
        <w:rPr>
          <w:rFonts w:ascii="Times New Roman" w:hAnsi="Times New Roman" w:cs="Times New Roman"/>
          <w:sz w:val="24"/>
          <w:szCs w:val="24"/>
        </w:rPr>
      </w:pPr>
    </w:p>
    <w:p w:rsidR="00344784" w:rsidRDefault="00344784" w:rsidP="00C5180D">
      <w:pPr>
        <w:spacing w:after="0" w:line="240" w:lineRule="auto"/>
        <w:rPr>
          <w:rFonts w:ascii="Times New Roman" w:hAnsi="Times New Roman" w:cs="Times New Roman"/>
          <w:sz w:val="24"/>
          <w:szCs w:val="24"/>
        </w:rPr>
      </w:pPr>
    </w:p>
    <w:p w:rsidR="00410A64" w:rsidRPr="00C5180D" w:rsidRDefault="00410A64" w:rsidP="00C5180D">
      <w:pPr>
        <w:spacing w:after="0" w:line="240" w:lineRule="auto"/>
        <w:rPr>
          <w:rFonts w:ascii="Times New Roman" w:hAnsi="Times New Roman" w:cs="Times New Roman"/>
          <w:sz w:val="24"/>
          <w:szCs w:val="24"/>
        </w:rPr>
      </w:pPr>
    </w:p>
    <w:sectPr w:rsidR="00410A64" w:rsidRPr="00C5180D" w:rsidSect="004040C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824" w:rsidRDefault="00332824" w:rsidP="00332824">
      <w:pPr>
        <w:spacing w:after="0" w:line="240" w:lineRule="auto"/>
      </w:pPr>
      <w:r>
        <w:separator/>
      </w:r>
    </w:p>
  </w:endnote>
  <w:endnote w:type="continuationSeparator" w:id="0">
    <w:p w:rsidR="00332824" w:rsidRDefault="00332824" w:rsidP="00332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824" w:rsidRDefault="00332824" w:rsidP="00332824">
      <w:pPr>
        <w:spacing w:after="0" w:line="240" w:lineRule="auto"/>
      </w:pPr>
      <w:r>
        <w:separator/>
      </w:r>
    </w:p>
  </w:footnote>
  <w:footnote w:type="continuationSeparator" w:id="0">
    <w:p w:rsidR="00332824" w:rsidRDefault="00332824" w:rsidP="003328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824" w:rsidRDefault="003328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07364"/>
    <w:multiLevelType w:val="hybridMultilevel"/>
    <w:tmpl w:val="448E7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87072"/>
    <w:multiLevelType w:val="hybridMultilevel"/>
    <w:tmpl w:val="285A7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F37851"/>
    <w:multiLevelType w:val="hybridMultilevel"/>
    <w:tmpl w:val="42F63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80D"/>
    <w:rsid w:val="000216DF"/>
    <w:rsid w:val="00034EA2"/>
    <w:rsid w:val="000441B6"/>
    <w:rsid w:val="000B1689"/>
    <w:rsid w:val="000D0DC7"/>
    <w:rsid w:val="000F0363"/>
    <w:rsid w:val="00105C33"/>
    <w:rsid w:val="001272D2"/>
    <w:rsid w:val="0018644F"/>
    <w:rsid w:val="00197DFA"/>
    <w:rsid w:val="001B4A1E"/>
    <w:rsid w:val="001B5C8E"/>
    <w:rsid w:val="001D3D4D"/>
    <w:rsid w:val="001F2C04"/>
    <w:rsid w:val="001F5626"/>
    <w:rsid w:val="00213F94"/>
    <w:rsid w:val="002802BE"/>
    <w:rsid w:val="00283306"/>
    <w:rsid w:val="002C0D41"/>
    <w:rsid w:val="002D378F"/>
    <w:rsid w:val="002F5886"/>
    <w:rsid w:val="00305B50"/>
    <w:rsid w:val="0032256D"/>
    <w:rsid w:val="00332824"/>
    <w:rsid w:val="00332F16"/>
    <w:rsid w:val="00344784"/>
    <w:rsid w:val="00365DD4"/>
    <w:rsid w:val="00373A3D"/>
    <w:rsid w:val="003864F2"/>
    <w:rsid w:val="003A1819"/>
    <w:rsid w:val="003A205F"/>
    <w:rsid w:val="003D3618"/>
    <w:rsid w:val="003F3CF5"/>
    <w:rsid w:val="003F55A4"/>
    <w:rsid w:val="004040CE"/>
    <w:rsid w:val="00410A64"/>
    <w:rsid w:val="00411001"/>
    <w:rsid w:val="00422E3F"/>
    <w:rsid w:val="00440226"/>
    <w:rsid w:val="0044689D"/>
    <w:rsid w:val="004651BC"/>
    <w:rsid w:val="004A0E1C"/>
    <w:rsid w:val="004B7787"/>
    <w:rsid w:val="00514503"/>
    <w:rsid w:val="00521F42"/>
    <w:rsid w:val="00563A27"/>
    <w:rsid w:val="00566E8C"/>
    <w:rsid w:val="00566EA6"/>
    <w:rsid w:val="00567BBD"/>
    <w:rsid w:val="00597F1B"/>
    <w:rsid w:val="005A133B"/>
    <w:rsid w:val="005A34F1"/>
    <w:rsid w:val="005D51B2"/>
    <w:rsid w:val="005F1689"/>
    <w:rsid w:val="00621D08"/>
    <w:rsid w:val="00632956"/>
    <w:rsid w:val="00656DCF"/>
    <w:rsid w:val="0066385B"/>
    <w:rsid w:val="00685920"/>
    <w:rsid w:val="006A5BA4"/>
    <w:rsid w:val="006B248C"/>
    <w:rsid w:val="006F2019"/>
    <w:rsid w:val="00774524"/>
    <w:rsid w:val="007A71C9"/>
    <w:rsid w:val="007B75B1"/>
    <w:rsid w:val="007C41AE"/>
    <w:rsid w:val="007E2561"/>
    <w:rsid w:val="007E3F77"/>
    <w:rsid w:val="007E4036"/>
    <w:rsid w:val="007F2995"/>
    <w:rsid w:val="0082230E"/>
    <w:rsid w:val="0082467B"/>
    <w:rsid w:val="00843CAE"/>
    <w:rsid w:val="008670A7"/>
    <w:rsid w:val="0087116E"/>
    <w:rsid w:val="00873206"/>
    <w:rsid w:val="00907FB0"/>
    <w:rsid w:val="0092740D"/>
    <w:rsid w:val="009458C8"/>
    <w:rsid w:val="00963F82"/>
    <w:rsid w:val="009754B7"/>
    <w:rsid w:val="0098259F"/>
    <w:rsid w:val="009A0A04"/>
    <w:rsid w:val="009C1363"/>
    <w:rsid w:val="00A105CF"/>
    <w:rsid w:val="00A344B9"/>
    <w:rsid w:val="00A6122F"/>
    <w:rsid w:val="00A81E2B"/>
    <w:rsid w:val="00AA5B68"/>
    <w:rsid w:val="00B07A2E"/>
    <w:rsid w:val="00B34445"/>
    <w:rsid w:val="00B36F9B"/>
    <w:rsid w:val="00B47D19"/>
    <w:rsid w:val="00B63DBD"/>
    <w:rsid w:val="00B94F56"/>
    <w:rsid w:val="00BD2EA7"/>
    <w:rsid w:val="00C4063D"/>
    <w:rsid w:val="00C5180D"/>
    <w:rsid w:val="00C77DC1"/>
    <w:rsid w:val="00C874DC"/>
    <w:rsid w:val="00CB70E2"/>
    <w:rsid w:val="00CC038B"/>
    <w:rsid w:val="00CD5F79"/>
    <w:rsid w:val="00CE263C"/>
    <w:rsid w:val="00CE779B"/>
    <w:rsid w:val="00CF0362"/>
    <w:rsid w:val="00D523B6"/>
    <w:rsid w:val="00D61999"/>
    <w:rsid w:val="00D86E5F"/>
    <w:rsid w:val="00E0315A"/>
    <w:rsid w:val="00E15C6F"/>
    <w:rsid w:val="00E47EBE"/>
    <w:rsid w:val="00EA45E0"/>
    <w:rsid w:val="00EB3BA4"/>
    <w:rsid w:val="00EB6B7F"/>
    <w:rsid w:val="00EC0E04"/>
    <w:rsid w:val="00EE007D"/>
    <w:rsid w:val="00EF1DE1"/>
    <w:rsid w:val="00F11D32"/>
    <w:rsid w:val="00F15FE7"/>
    <w:rsid w:val="00F35815"/>
    <w:rsid w:val="00F377B2"/>
    <w:rsid w:val="00F63F02"/>
    <w:rsid w:val="00F92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07E43"/>
  <w15:chartTrackingRefBased/>
  <w15:docId w15:val="{1AC037CA-1D4B-4275-8D51-D454CFDEB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nr12">
    <w:name w:val="tnr12"/>
    <w:basedOn w:val="Normal"/>
    <w:link w:val="tnr12Char"/>
    <w:qFormat/>
    <w:rsid w:val="0087116E"/>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344784"/>
    <w:rPr>
      <w:color w:val="0000FF"/>
      <w:u w:val="single"/>
    </w:rPr>
  </w:style>
  <w:style w:type="character" w:customStyle="1" w:styleId="tnr12Char">
    <w:name w:val="tnr12 Char"/>
    <w:basedOn w:val="DefaultParagraphFont"/>
    <w:link w:val="tnr12"/>
    <w:rsid w:val="0087116E"/>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0D0DC7"/>
    <w:rPr>
      <w:color w:val="954F72" w:themeColor="followedHyperlink"/>
      <w:u w:val="single"/>
    </w:rPr>
  </w:style>
  <w:style w:type="paragraph" w:styleId="Header">
    <w:name w:val="header"/>
    <w:basedOn w:val="Normal"/>
    <w:link w:val="HeaderChar"/>
    <w:uiPriority w:val="99"/>
    <w:unhideWhenUsed/>
    <w:rsid w:val="003328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824"/>
  </w:style>
  <w:style w:type="paragraph" w:styleId="Footer">
    <w:name w:val="footer"/>
    <w:basedOn w:val="Normal"/>
    <w:link w:val="FooterChar"/>
    <w:uiPriority w:val="99"/>
    <w:unhideWhenUsed/>
    <w:rsid w:val="003328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132247">
      <w:bodyDiv w:val="1"/>
      <w:marLeft w:val="0"/>
      <w:marRight w:val="0"/>
      <w:marTop w:val="0"/>
      <w:marBottom w:val="0"/>
      <w:divBdr>
        <w:top w:val="none" w:sz="0" w:space="0" w:color="auto"/>
        <w:left w:val="none" w:sz="0" w:space="0" w:color="auto"/>
        <w:bottom w:val="none" w:sz="0" w:space="0" w:color="auto"/>
        <w:right w:val="none" w:sz="0" w:space="0" w:color="auto"/>
      </w:divBdr>
      <w:divsChild>
        <w:div w:id="1457868165">
          <w:marLeft w:val="0"/>
          <w:marRight w:val="0"/>
          <w:marTop w:val="0"/>
          <w:marBottom w:val="0"/>
          <w:divBdr>
            <w:top w:val="none" w:sz="0" w:space="0" w:color="auto"/>
            <w:left w:val="none" w:sz="0" w:space="0" w:color="auto"/>
            <w:bottom w:val="none" w:sz="0" w:space="0" w:color="auto"/>
            <w:right w:val="none" w:sz="0" w:space="0" w:color="auto"/>
          </w:divBdr>
        </w:div>
        <w:div w:id="229194558">
          <w:marLeft w:val="0"/>
          <w:marRight w:val="0"/>
          <w:marTop w:val="0"/>
          <w:marBottom w:val="0"/>
          <w:divBdr>
            <w:top w:val="none" w:sz="0" w:space="0" w:color="auto"/>
            <w:left w:val="none" w:sz="0" w:space="0" w:color="auto"/>
            <w:bottom w:val="none" w:sz="0" w:space="0" w:color="auto"/>
            <w:right w:val="none" w:sz="0" w:space="0" w:color="auto"/>
          </w:divBdr>
        </w:div>
        <w:div w:id="1335033948">
          <w:marLeft w:val="0"/>
          <w:marRight w:val="0"/>
          <w:marTop w:val="0"/>
          <w:marBottom w:val="0"/>
          <w:divBdr>
            <w:top w:val="none" w:sz="0" w:space="0" w:color="auto"/>
            <w:left w:val="none" w:sz="0" w:space="0" w:color="auto"/>
            <w:bottom w:val="none" w:sz="0" w:space="0" w:color="auto"/>
            <w:right w:val="none" w:sz="0" w:space="0" w:color="auto"/>
          </w:divBdr>
        </w:div>
        <w:div w:id="1496724541">
          <w:marLeft w:val="0"/>
          <w:marRight w:val="0"/>
          <w:marTop w:val="0"/>
          <w:marBottom w:val="0"/>
          <w:divBdr>
            <w:top w:val="none" w:sz="0" w:space="0" w:color="auto"/>
            <w:left w:val="none" w:sz="0" w:space="0" w:color="auto"/>
            <w:bottom w:val="none" w:sz="0" w:space="0" w:color="auto"/>
            <w:right w:val="none" w:sz="0" w:space="0" w:color="auto"/>
          </w:divBdr>
        </w:div>
        <w:div w:id="688605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4</Pages>
  <Words>1621</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 Lab Students</dc:creator>
  <cp:keywords/>
  <dc:description/>
  <cp:lastModifiedBy>Stone Lab Students</cp:lastModifiedBy>
  <cp:revision>34</cp:revision>
  <dcterms:created xsi:type="dcterms:W3CDTF">2019-08-03T15:06:00Z</dcterms:created>
  <dcterms:modified xsi:type="dcterms:W3CDTF">2019-08-03T19:35:00Z</dcterms:modified>
</cp:coreProperties>
</file>